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49" w:rsidRPr="007C780E" w:rsidRDefault="004B2A49" w:rsidP="004B2A49">
      <w:pPr>
        <w:pStyle w:val="Annexe"/>
        <w:rPr>
          <w:rFonts w:cs="Arial"/>
        </w:rPr>
      </w:pPr>
      <w:r w:rsidRPr="007C780E">
        <w:rPr>
          <w:rFonts w:cs="Arial"/>
        </w:rPr>
        <w:t>Annexe 1</w:t>
      </w:r>
    </w:p>
    <w:p w:rsidR="001C1DC7" w:rsidRPr="007C780E" w:rsidRDefault="004B2A49" w:rsidP="004B2A49">
      <w:pPr>
        <w:pStyle w:val="Titre1"/>
        <w:rPr>
          <w:rFonts w:cs="Arial"/>
        </w:rPr>
      </w:pPr>
      <w:r w:rsidRPr="007C780E">
        <w:rPr>
          <w:rFonts w:cs="Arial"/>
        </w:rPr>
        <w:t>Programme de chimie, biologie et physiopathologie humaines de terminale ST2S</w:t>
      </w:r>
    </w:p>
    <w:p w:rsidR="007C780E" w:rsidRPr="007C780E" w:rsidRDefault="007C780E" w:rsidP="007C780E">
      <w:pPr>
        <w:rPr>
          <w:rFonts w:cs="Arial"/>
        </w:rPr>
      </w:pPr>
    </w:p>
    <w:p w:rsidR="007C780E" w:rsidRPr="007C780E" w:rsidRDefault="007C780E" w:rsidP="007C780E">
      <w:pPr>
        <w:rPr>
          <w:rFonts w:cs="Arial"/>
        </w:rPr>
      </w:pPr>
    </w:p>
    <w:p w:rsidR="00BE19BD" w:rsidRPr="007C780E" w:rsidRDefault="00BE19BD" w:rsidP="004B2A49">
      <w:pPr>
        <w:pStyle w:val="Annexe"/>
        <w:rPr>
          <w:rFonts w:cs="Arial"/>
        </w:rPr>
      </w:pPr>
      <w:r w:rsidRPr="007C780E">
        <w:rPr>
          <w:rFonts w:cs="Arial"/>
        </w:rPr>
        <w:t>Sommaire</w:t>
      </w:r>
    </w:p>
    <w:p w:rsidR="004B2A49" w:rsidRPr="007C780E" w:rsidRDefault="004B2A49" w:rsidP="004B2A49">
      <w:pPr>
        <w:pStyle w:val="TM1"/>
        <w:rPr>
          <w:rFonts w:cs="Arial"/>
        </w:rPr>
      </w:pPr>
      <w:bookmarkStart w:id="0" w:name="_Toc8396263"/>
      <w:r w:rsidRPr="007C780E">
        <w:rPr>
          <w:rFonts w:cs="Arial"/>
        </w:rPr>
        <w:t>Préambule du programme</w:t>
      </w:r>
    </w:p>
    <w:p w:rsidR="004B2A49" w:rsidRPr="007C780E" w:rsidRDefault="004B2A49" w:rsidP="004B2A49">
      <w:pPr>
        <w:pStyle w:val="TM2"/>
        <w:rPr>
          <w:rFonts w:cs="Arial"/>
        </w:rPr>
      </w:pPr>
      <w:r w:rsidRPr="007C780E">
        <w:rPr>
          <w:rFonts w:cs="Arial"/>
        </w:rPr>
        <w:t>Objectifs de formation</w:t>
      </w:r>
    </w:p>
    <w:p w:rsidR="004B2A49" w:rsidRPr="007C780E" w:rsidRDefault="004B2A49" w:rsidP="004B2A49">
      <w:pPr>
        <w:pStyle w:val="TM2"/>
        <w:rPr>
          <w:rFonts w:cs="Arial"/>
        </w:rPr>
      </w:pPr>
      <w:r w:rsidRPr="007C780E">
        <w:rPr>
          <w:rFonts w:cs="Arial"/>
        </w:rPr>
        <w:t>Organisation</w:t>
      </w:r>
    </w:p>
    <w:p w:rsidR="004B2A49" w:rsidRPr="007C780E" w:rsidRDefault="004B2A49" w:rsidP="004B2A49">
      <w:pPr>
        <w:pStyle w:val="TM1"/>
        <w:rPr>
          <w:rFonts w:cs="Arial"/>
        </w:rPr>
      </w:pPr>
      <w:r w:rsidRPr="007C780E">
        <w:rPr>
          <w:rFonts w:cs="Arial"/>
        </w:rPr>
        <w:t>Chimie</w:t>
      </w:r>
    </w:p>
    <w:p w:rsidR="004B2A49" w:rsidRPr="007C780E" w:rsidRDefault="004B2A49" w:rsidP="004B2A49">
      <w:pPr>
        <w:pStyle w:val="TM2"/>
        <w:rPr>
          <w:rFonts w:cs="Arial"/>
        </w:rPr>
      </w:pPr>
      <w:r w:rsidRPr="007C780E">
        <w:rPr>
          <w:rFonts w:cs="Arial"/>
        </w:rPr>
        <w:t>Chimie et enjeux contemporains</w:t>
      </w:r>
    </w:p>
    <w:p w:rsidR="004B2A49" w:rsidRPr="007C780E" w:rsidRDefault="004B2A49" w:rsidP="004B2A49">
      <w:pPr>
        <w:pStyle w:val="TM2"/>
        <w:rPr>
          <w:rFonts w:cs="Arial"/>
        </w:rPr>
      </w:pPr>
      <w:r w:rsidRPr="007C780E">
        <w:rPr>
          <w:rFonts w:cs="Arial"/>
        </w:rPr>
        <w:t>Chimie et démarche scientifique</w:t>
      </w:r>
    </w:p>
    <w:p w:rsidR="004B2A49" w:rsidRPr="007C780E" w:rsidRDefault="004B2A49" w:rsidP="004B2A49">
      <w:pPr>
        <w:pStyle w:val="TM2"/>
        <w:rPr>
          <w:rFonts w:cs="Arial"/>
        </w:rPr>
      </w:pPr>
      <w:r w:rsidRPr="007C780E">
        <w:rPr>
          <w:rFonts w:cs="Arial"/>
        </w:rPr>
        <w:t>Entrées thématiques</w:t>
      </w:r>
    </w:p>
    <w:p w:rsidR="004B2A49" w:rsidRPr="007C780E" w:rsidRDefault="004B2A49" w:rsidP="004B2A49">
      <w:pPr>
        <w:pStyle w:val="TM2"/>
        <w:rPr>
          <w:rFonts w:cs="Arial"/>
        </w:rPr>
      </w:pPr>
      <w:r w:rsidRPr="007C780E">
        <w:rPr>
          <w:rFonts w:cs="Arial"/>
        </w:rPr>
        <w:t xml:space="preserve">Contenus </w:t>
      </w:r>
      <w:r w:rsidR="00E10257">
        <w:rPr>
          <w:rFonts w:cs="Arial"/>
        </w:rPr>
        <w:t>d’enseignement</w:t>
      </w:r>
    </w:p>
    <w:p w:rsidR="004B2A49" w:rsidRPr="007C780E" w:rsidRDefault="004B2A49" w:rsidP="004B2A49">
      <w:pPr>
        <w:pStyle w:val="TM1"/>
        <w:rPr>
          <w:rFonts w:cs="Arial"/>
        </w:rPr>
      </w:pPr>
      <w:r w:rsidRPr="007C780E">
        <w:rPr>
          <w:rFonts w:cs="Arial"/>
        </w:rPr>
        <w:t>Biologie et physiopathologie humaines</w:t>
      </w:r>
    </w:p>
    <w:p w:rsidR="004B2A49" w:rsidRPr="007C780E" w:rsidRDefault="004B2A49" w:rsidP="004B2A49">
      <w:pPr>
        <w:pStyle w:val="TM2"/>
        <w:rPr>
          <w:rFonts w:cs="Arial"/>
        </w:rPr>
      </w:pPr>
      <w:r w:rsidRPr="007C780E">
        <w:rPr>
          <w:rFonts w:cs="Arial"/>
        </w:rPr>
        <w:t>Objectifs et enjeux de cet enseignement</w:t>
      </w:r>
    </w:p>
    <w:p w:rsidR="004B2A49" w:rsidRPr="007C780E" w:rsidRDefault="004B2A49" w:rsidP="004B2A49">
      <w:pPr>
        <w:pStyle w:val="TM2"/>
        <w:rPr>
          <w:rFonts w:cs="Arial"/>
        </w:rPr>
      </w:pPr>
      <w:r w:rsidRPr="007C780E">
        <w:rPr>
          <w:rFonts w:cs="Arial"/>
        </w:rPr>
        <w:t>Compétences visées</w:t>
      </w:r>
    </w:p>
    <w:p w:rsidR="004B2A49" w:rsidRPr="007C780E" w:rsidRDefault="004B2A49" w:rsidP="004B2A49">
      <w:pPr>
        <w:pStyle w:val="TM2"/>
        <w:rPr>
          <w:rFonts w:cs="Arial"/>
        </w:rPr>
      </w:pPr>
      <w:r w:rsidRPr="007C780E">
        <w:rPr>
          <w:rFonts w:cs="Arial"/>
        </w:rPr>
        <w:t>Présentation du programme de la classe terminale</w:t>
      </w:r>
    </w:p>
    <w:p w:rsidR="004B2A49" w:rsidRPr="007C780E" w:rsidRDefault="004B2A49" w:rsidP="004B2A49">
      <w:pPr>
        <w:pStyle w:val="TM2"/>
        <w:rPr>
          <w:rFonts w:cs="Arial"/>
        </w:rPr>
      </w:pPr>
      <w:r w:rsidRPr="007C780E">
        <w:rPr>
          <w:rFonts w:cs="Arial"/>
        </w:rPr>
        <w:t>Contenus d’enseignement</w:t>
      </w:r>
    </w:p>
    <w:p w:rsidR="00FC2F9C" w:rsidRPr="007C780E" w:rsidRDefault="00FC2F9C" w:rsidP="004B2A49">
      <w:pPr>
        <w:rPr>
          <w:rFonts w:eastAsia="Times" w:cs="Arial"/>
          <w:lang w:eastAsia="fr-FR"/>
        </w:rPr>
      </w:pPr>
      <w:r w:rsidRPr="007C780E">
        <w:rPr>
          <w:rFonts w:cs="Arial"/>
        </w:rPr>
        <w:br w:type="page"/>
      </w:r>
    </w:p>
    <w:p w:rsidR="001C1DC7" w:rsidRPr="007C780E" w:rsidRDefault="009E3CDF" w:rsidP="007C780E">
      <w:pPr>
        <w:pStyle w:val="Titre2"/>
        <w:rPr>
          <w:rFonts w:cs="Arial"/>
          <w:i/>
        </w:rPr>
      </w:pPr>
      <w:bookmarkStart w:id="1" w:name="_Toc8815388"/>
      <w:r w:rsidRPr="007C780E">
        <w:rPr>
          <w:rFonts w:cs="Arial"/>
        </w:rPr>
        <w:lastRenderedPageBreak/>
        <w:t>P</w:t>
      </w:r>
      <w:r w:rsidR="004369ED" w:rsidRPr="007C780E">
        <w:rPr>
          <w:rFonts w:cs="Arial"/>
        </w:rPr>
        <w:t>réambule du programme</w:t>
      </w:r>
      <w:bookmarkEnd w:id="1"/>
      <w:bookmarkEnd w:id="0"/>
    </w:p>
    <w:p w:rsidR="001C1DC7" w:rsidRPr="007C780E" w:rsidRDefault="009E3CDF" w:rsidP="007C780E">
      <w:pPr>
        <w:pStyle w:val="Titre3"/>
        <w:rPr>
          <w:rFonts w:cs="Arial"/>
        </w:rPr>
      </w:pPr>
      <w:bookmarkStart w:id="2" w:name="_Toc8396264"/>
      <w:bookmarkStart w:id="3" w:name="_Toc8815389"/>
      <w:r w:rsidRPr="007C780E">
        <w:rPr>
          <w:rFonts w:cs="Arial"/>
        </w:rPr>
        <w:t>Objectifs de formation</w:t>
      </w:r>
      <w:bookmarkEnd w:id="2"/>
      <w:bookmarkEnd w:id="3"/>
    </w:p>
    <w:p w:rsidR="009E3CDF" w:rsidRPr="007C780E" w:rsidRDefault="009E3CDF" w:rsidP="007C780E">
      <w:pPr>
        <w:pStyle w:val="Titre4"/>
      </w:pPr>
      <w:r w:rsidRPr="007C780E">
        <w:t>Une formation scientifique pour une citoyenneté responsable</w:t>
      </w:r>
    </w:p>
    <w:p w:rsidR="001C1DC7" w:rsidRPr="007C780E" w:rsidRDefault="009E3CDF" w:rsidP="007C780E">
      <w:r w:rsidRPr="007C780E">
        <w:t>La première ambition du programme est de contribuer à donner aux élèves une formation scientifique ancrée dans les domaines du vivant et de la santé. L’approche en est délibérément caractérisée par une contextualisation forte et une sensibilisation aux enjeux</w:t>
      </w:r>
      <w:r w:rsidR="00D818A1" w:rsidRPr="007C780E">
        <w:t xml:space="preserve"> de société</w:t>
      </w:r>
      <w:r w:rsidRPr="007C780E">
        <w:t xml:space="preserve"> contemporains. Ainsi</w:t>
      </w:r>
      <w:r w:rsidR="004369ED" w:rsidRPr="007C780E">
        <w:t>,</w:t>
      </w:r>
      <w:r w:rsidRPr="007C780E">
        <w:t xml:space="preserve"> les apports de la chimie et de la biologie et physiopathologie humaines se complètent pour converger vers des problématiques couvrant notamment les secteurs de la santé, de l’alimentation, de l’environnement, etc. La formation scientifique vise à l’acquisition d’une meilleure connaissance des besoins vitaux de l’être humain et des liens avec son environnement. À cet égard</w:t>
      </w:r>
      <w:r w:rsidR="004369ED" w:rsidRPr="007C780E">
        <w:t>,</w:t>
      </w:r>
      <w:r w:rsidRPr="007C780E">
        <w:t xml:space="preserve"> la formation contribue à l’élaboration d’un point de vue critique et éclairé sur l’information qui est donnée au citoyen, en luttant contre les représentations et les croyances infondées et en privilégiant </w:t>
      </w:r>
      <w:r w:rsidR="00D818A1" w:rsidRPr="007C780E">
        <w:t>l’analyse</w:t>
      </w:r>
      <w:r w:rsidRPr="007C780E">
        <w:t xml:space="preserve"> et </w:t>
      </w:r>
      <w:r w:rsidR="00D818A1" w:rsidRPr="007C780E">
        <w:t xml:space="preserve">le raisonnement </w:t>
      </w:r>
      <w:r w:rsidRPr="007C780E">
        <w:t>scientifique</w:t>
      </w:r>
      <w:r w:rsidR="00C61B84" w:rsidRPr="007C780E">
        <w:t>.</w:t>
      </w:r>
    </w:p>
    <w:p w:rsidR="001C1DC7" w:rsidRPr="007C780E" w:rsidRDefault="009E3CDF" w:rsidP="007C780E">
      <w:pPr>
        <w:pStyle w:val="Titre4"/>
      </w:pPr>
      <w:r w:rsidRPr="007C780E">
        <w:t>Une formation scientifique adaptée à une poursuite d’études</w:t>
      </w:r>
    </w:p>
    <w:p w:rsidR="001C1DC7" w:rsidRPr="007C780E" w:rsidRDefault="009E3CDF" w:rsidP="007C780E">
      <w:r w:rsidRPr="007C780E">
        <w:t>La seconde ambition du programme est de préparer la poursuite d’études pour</w:t>
      </w:r>
      <w:r w:rsidR="00D818A1" w:rsidRPr="007C780E">
        <w:t xml:space="preserve"> favoriser</w:t>
      </w:r>
      <w:r w:rsidRPr="007C780E">
        <w:t xml:space="preserve">, à terme, une insertion professionnelle réussie dans les secteurs du social et de la santé, voire de l’environnement et des soins </w:t>
      </w:r>
      <w:r w:rsidR="00C61B84" w:rsidRPr="007C780E">
        <w:t>à la personne</w:t>
      </w:r>
      <w:r w:rsidRPr="007C780E">
        <w:t xml:space="preserve">. Les notions et les contextes retenus </w:t>
      </w:r>
      <w:r w:rsidR="00C53333" w:rsidRPr="007C780E">
        <w:t xml:space="preserve">éclairent </w:t>
      </w:r>
      <w:r w:rsidRPr="007C780E">
        <w:t xml:space="preserve">les élèves sur les défis de société et les enjeux des développements actuels et futurs dans les domaines du vivant, de la santé et de l’environnement. Cet enseignement </w:t>
      </w:r>
      <w:r w:rsidR="00C53333" w:rsidRPr="007C780E">
        <w:t xml:space="preserve">permet </w:t>
      </w:r>
      <w:r w:rsidRPr="007C780E">
        <w:t>à chaque élève de découvrir le fondement scientifique de certains domaines professionnels et de préciser ses vœux d’orientation au regard des compétences exigées pour une poursuite d’études dans des filières v</w:t>
      </w:r>
      <w:r w:rsidR="00983686" w:rsidRPr="007C780E">
        <w:t>ariées appartenant aux secteurs</w:t>
      </w:r>
      <w:r w:rsidRPr="007C780E">
        <w:t xml:space="preserve"> </w:t>
      </w:r>
      <w:r w:rsidR="00D818A1" w:rsidRPr="007C780E">
        <w:t>évoqués ci-dessus</w:t>
      </w:r>
      <w:r w:rsidRPr="007C780E">
        <w:t>.</w:t>
      </w:r>
    </w:p>
    <w:p w:rsidR="001C1DC7" w:rsidRPr="007C780E" w:rsidRDefault="00C61B84" w:rsidP="007C780E">
      <w:r w:rsidRPr="007C780E">
        <w:t>L’</w:t>
      </w:r>
      <w:r w:rsidR="009E3CDF" w:rsidRPr="007C780E">
        <w:t xml:space="preserve">enseignement de spécialité </w:t>
      </w:r>
      <w:r w:rsidR="00C53333" w:rsidRPr="007C780E">
        <w:t xml:space="preserve">poursuit </w:t>
      </w:r>
      <w:r w:rsidR="009E3CDF" w:rsidRPr="007C780E">
        <w:t>la construction</w:t>
      </w:r>
      <w:r w:rsidR="00D818A1" w:rsidRPr="007C780E">
        <w:t>, engagée en classe de première,</w:t>
      </w:r>
      <w:r w:rsidR="009E3CDF" w:rsidRPr="007C780E">
        <w:t xml:space="preserve"> de compétences </w:t>
      </w:r>
      <w:r w:rsidR="00D818A1" w:rsidRPr="007C780E">
        <w:t xml:space="preserve">variées </w:t>
      </w:r>
      <w:r w:rsidR="009E3CDF" w:rsidRPr="007C780E">
        <w:t>chez l’élève</w:t>
      </w:r>
      <w:r w:rsidR="001C1DC7" w:rsidRPr="007C780E">
        <w:t> :</w:t>
      </w:r>
      <w:r w:rsidR="009E3CDF" w:rsidRPr="007C780E">
        <w:t xml:space="preserve"> compétences </w:t>
      </w:r>
      <w:r w:rsidR="001243B0" w:rsidRPr="007C780E">
        <w:t>scientifiques développées par les</w:t>
      </w:r>
      <w:r w:rsidR="009E3CDF" w:rsidRPr="007C780E">
        <w:t xml:space="preserve"> démarche</w:t>
      </w:r>
      <w:r w:rsidR="001243B0" w:rsidRPr="007C780E">
        <w:t>s</w:t>
      </w:r>
      <w:r w:rsidR="009E3CDF" w:rsidRPr="007C780E">
        <w:t xml:space="preserve"> scientifique et</w:t>
      </w:r>
      <w:r w:rsidR="003E1DA5" w:rsidRPr="007C780E">
        <w:t xml:space="preserve"> technologique </w:t>
      </w:r>
      <w:r w:rsidR="009E3CDF" w:rsidRPr="007C780E">
        <w:t xml:space="preserve">appliquées à la maîtrise des notions et contenus du programme, compétences d’autonomie, d’initiative et d’esprit critique, compétences de communication écrite et orale, compétences sociales et organisationnelles </w:t>
      </w:r>
      <w:r w:rsidR="00D818A1" w:rsidRPr="007C780E">
        <w:t xml:space="preserve">requises </w:t>
      </w:r>
      <w:r w:rsidR="009E3CDF" w:rsidRPr="007C780E">
        <w:t>par le travail en équipe et le respect des règles de sécurité.</w:t>
      </w:r>
    </w:p>
    <w:p w:rsidR="001C1DC7" w:rsidRPr="007C780E" w:rsidRDefault="00D818A1" w:rsidP="007C780E">
      <w:r w:rsidRPr="007C780E">
        <w:t>C</w:t>
      </w:r>
      <w:r w:rsidR="009E3CDF" w:rsidRPr="007C780E">
        <w:t xml:space="preserve">et enseignement de spécialité s’articule également avec celui de sciences et techniques sanitaires et sociales, afin de permettre aux élèves d’appréhender dans leur complexité les questions de société relatives à la santé et au bien-être. L’approche interdisciplinaire de ces deux enseignements de spécialité constitue un atout pour les élèves qui </w:t>
      </w:r>
      <w:r w:rsidR="000E26E0" w:rsidRPr="007C780E">
        <w:t>les</w:t>
      </w:r>
      <w:r w:rsidR="000E26E0" w:rsidRPr="007C780E">
        <w:rPr>
          <w:color w:val="FF0000"/>
        </w:rPr>
        <w:t xml:space="preserve"> </w:t>
      </w:r>
      <w:r w:rsidR="009E3CDF" w:rsidRPr="007C780E">
        <w:t>suivent</w:t>
      </w:r>
      <w:r w:rsidR="00BF4F74" w:rsidRPr="007C780E">
        <w:t>, en particulier</w:t>
      </w:r>
      <w:r w:rsidR="009E3CDF" w:rsidRPr="007C780E">
        <w:t xml:space="preserve"> au regard des attendus des formations de l’enseignement supérieur auxquelles ils peuvent prétendre</w:t>
      </w:r>
      <w:r w:rsidR="00B85A68" w:rsidRPr="007C780E">
        <w:t xml:space="preserve"> </w:t>
      </w:r>
      <w:r w:rsidR="00F64584" w:rsidRPr="007C780E">
        <w:t>et de leur insertion sociale et professionnelle future.</w:t>
      </w:r>
    </w:p>
    <w:p w:rsidR="001C1DC7" w:rsidRPr="007C780E" w:rsidRDefault="009E3CDF" w:rsidP="007C780E">
      <w:pPr>
        <w:pStyle w:val="Titre3"/>
      </w:pPr>
      <w:bookmarkStart w:id="4" w:name="_Toc8396265"/>
      <w:bookmarkStart w:id="5" w:name="_Toc8815390"/>
      <w:r w:rsidRPr="007C780E">
        <w:t>Organisation</w:t>
      </w:r>
      <w:bookmarkEnd w:id="4"/>
      <w:bookmarkEnd w:id="5"/>
    </w:p>
    <w:p w:rsidR="001C1DC7" w:rsidRPr="007C780E" w:rsidRDefault="00983686" w:rsidP="007C780E">
      <w:pPr>
        <w:pStyle w:val="Titre4"/>
      </w:pPr>
      <w:r w:rsidRPr="007C780E">
        <w:t xml:space="preserve">Deux parties </w:t>
      </w:r>
      <w:r w:rsidR="009E3CDF" w:rsidRPr="007C780E">
        <w:t>pour décliner les objectifs de formation</w:t>
      </w:r>
    </w:p>
    <w:p w:rsidR="001C1DC7" w:rsidRPr="007C780E" w:rsidRDefault="009E3CDF" w:rsidP="007C780E">
      <w:r w:rsidRPr="007C780E">
        <w:t>Le programme est conçu en deux parties</w:t>
      </w:r>
      <w:r w:rsidR="004369ED" w:rsidRPr="007C780E">
        <w:t>,</w:t>
      </w:r>
      <w:r w:rsidR="00E10257">
        <w:t xml:space="preserve"> Chimie et </w:t>
      </w:r>
      <w:r w:rsidRPr="007C780E">
        <w:t>Biologie</w:t>
      </w:r>
      <w:r w:rsidR="00E10257">
        <w:t xml:space="preserve"> et physiopathologie humaines</w:t>
      </w:r>
      <w:r w:rsidR="004369ED" w:rsidRPr="007C780E">
        <w:t>,</w:t>
      </w:r>
      <w:r w:rsidRPr="007C780E">
        <w:t xml:space="preserve"> qui déclinent les objectifs de la formation scientifique et technologique. Si les contours de ces deux parties sont indépendants, certains contextes d’étude convergent autour de questions liées au vivant, à la santé et à l’environnement, </w:t>
      </w:r>
      <w:r w:rsidR="00297ABC" w:rsidRPr="007C780E">
        <w:t>leurs traitements respectifs se complétant</w:t>
      </w:r>
      <w:r w:rsidRPr="007C780E">
        <w:t xml:space="preserve"> sur l’ensemble du cycle terminal. Cet aspect interdisciplinaire constitue un point d’originalité du programme. L’interdisciplinarité s’impose devant l’exigence </w:t>
      </w:r>
      <w:r w:rsidR="00297ABC" w:rsidRPr="007C780E">
        <w:t>d’</w:t>
      </w:r>
      <w:r w:rsidRPr="007C780E">
        <w:t xml:space="preserve">appréhender des problèmes complexes et multiformes. Cette culture interdisciplinaire s’exprime aussi </w:t>
      </w:r>
      <w:r w:rsidR="00297ABC" w:rsidRPr="007C780E">
        <w:t>pa</w:t>
      </w:r>
      <w:r w:rsidR="00152CB3" w:rsidRPr="007C780E">
        <w:t xml:space="preserve">r les liens que l’enseignement </w:t>
      </w:r>
      <w:r w:rsidR="00297ABC" w:rsidRPr="007C780E">
        <w:t>é</w:t>
      </w:r>
      <w:r w:rsidR="00152CB3" w:rsidRPr="007C780E">
        <w:t>tablit</w:t>
      </w:r>
      <w:r w:rsidR="00A206AA" w:rsidRPr="007C780E">
        <w:t xml:space="preserve"> </w:t>
      </w:r>
      <w:r w:rsidR="00F90323" w:rsidRPr="007C780E">
        <w:t>avec</w:t>
      </w:r>
      <w:r w:rsidR="00152CB3" w:rsidRPr="007C780E">
        <w:t xml:space="preserve"> les perspectives de</w:t>
      </w:r>
      <w:r w:rsidR="00297ABC" w:rsidRPr="007C780E">
        <w:t xml:space="preserve"> développement et la recherche scientifique</w:t>
      </w:r>
      <w:r w:rsidR="00F90323" w:rsidRPr="007C780E">
        <w:t xml:space="preserve"> afin de relever les défis de notre temps.</w:t>
      </w:r>
    </w:p>
    <w:p w:rsidR="001C1DC7" w:rsidRPr="007C780E" w:rsidRDefault="009E3CDF" w:rsidP="007C780E">
      <w:pPr>
        <w:pStyle w:val="Titre4"/>
      </w:pPr>
      <w:r w:rsidRPr="007C780E">
        <w:lastRenderedPageBreak/>
        <w:t>Temps dédié respectivement à chacune des deux parties</w:t>
      </w:r>
    </w:p>
    <w:p w:rsidR="001C1DC7" w:rsidRPr="007C780E" w:rsidRDefault="009E3CDF" w:rsidP="007C780E">
      <w:r w:rsidRPr="007C780E">
        <w:t xml:space="preserve">L’enseignement de spécialité de </w:t>
      </w:r>
      <w:r w:rsidR="004369ED" w:rsidRPr="007C780E">
        <w:t>chimie-b</w:t>
      </w:r>
      <w:r w:rsidRPr="007C780E">
        <w:t>iologi</w:t>
      </w:r>
      <w:r w:rsidR="00983686" w:rsidRPr="007C780E">
        <w:t xml:space="preserve">e et physiopathologie humaines </w:t>
      </w:r>
      <w:r w:rsidRPr="007C780E">
        <w:t>a la particularité de reposer sur des expertises disciplinaires distinctes mais complémentaires.</w:t>
      </w:r>
    </w:p>
    <w:p w:rsidR="001C1DC7" w:rsidRPr="007C780E" w:rsidRDefault="009E3CDF" w:rsidP="007C780E">
      <w:r w:rsidRPr="007C780E">
        <w:t>Le programme a été conçu</w:t>
      </w:r>
      <w:r w:rsidR="003C74D9" w:rsidRPr="007C780E">
        <w:t>,</w:t>
      </w:r>
      <w:r w:rsidR="00E10257">
        <w:t xml:space="preserve"> dans sa partie Chimie</w:t>
      </w:r>
      <w:r w:rsidR="003C74D9" w:rsidRPr="007C780E">
        <w:t>,</w:t>
      </w:r>
      <w:r w:rsidRPr="007C780E">
        <w:t xml:space="preserve"> pour une durée hebdomadaire de </w:t>
      </w:r>
      <w:r w:rsidR="00A206AA" w:rsidRPr="007C780E">
        <w:t>trois</w:t>
      </w:r>
      <w:r w:rsidRPr="007C780E">
        <w:t xml:space="preserve"> heures et</w:t>
      </w:r>
      <w:r w:rsidR="003C74D9" w:rsidRPr="007C780E">
        <w:t>,</w:t>
      </w:r>
      <w:r w:rsidR="00E10257">
        <w:t xml:space="preserve"> dans sa partie </w:t>
      </w:r>
      <w:r w:rsidRPr="007C780E">
        <w:t>Biologie</w:t>
      </w:r>
      <w:r w:rsidR="00EF7BDB" w:rsidRPr="007C780E">
        <w:t xml:space="preserve"> e</w:t>
      </w:r>
      <w:r w:rsidR="00E10257">
        <w:t>t physiopathologie humaines</w:t>
      </w:r>
      <w:r w:rsidR="003C74D9" w:rsidRPr="007C780E">
        <w:t>,</w:t>
      </w:r>
      <w:r w:rsidRPr="007C780E">
        <w:t xml:space="preserve"> p</w:t>
      </w:r>
      <w:r w:rsidR="00E2563B" w:rsidRPr="007C780E">
        <w:t xml:space="preserve">our une durée hebdomadaire de </w:t>
      </w:r>
      <w:r w:rsidR="00A206AA" w:rsidRPr="007C780E">
        <w:t xml:space="preserve">cinq </w:t>
      </w:r>
      <w:r w:rsidRPr="007C780E">
        <w:t>heures.</w:t>
      </w:r>
    </w:p>
    <w:p w:rsidR="009E3CDF" w:rsidRPr="007C780E" w:rsidRDefault="00297ABC" w:rsidP="007C780E">
      <w:pPr>
        <w:pStyle w:val="Titre4"/>
      </w:pPr>
      <w:r w:rsidRPr="007C780E">
        <w:t>L’</w:t>
      </w:r>
      <w:r w:rsidR="009E3CDF" w:rsidRPr="007C780E">
        <w:t xml:space="preserve">enseignement de spécialité </w:t>
      </w:r>
      <w:r w:rsidR="00E2563B" w:rsidRPr="007C780E">
        <w:t>dans l’épreuve o</w:t>
      </w:r>
      <w:r w:rsidR="009E3CDF" w:rsidRPr="007C780E">
        <w:t>rale</w:t>
      </w:r>
      <w:r w:rsidR="00E2563B" w:rsidRPr="007C780E">
        <w:t xml:space="preserve"> terminale</w:t>
      </w:r>
    </w:p>
    <w:p w:rsidR="009E3CDF" w:rsidRPr="007C780E" w:rsidRDefault="00E2563B" w:rsidP="007C780E">
      <w:r w:rsidRPr="007C780E">
        <w:t>L’épreuve o</w:t>
      </w:r>
      <w:r w:rsidR="009E3CDF" w:rsidRPr="007C780E">
        <w:t xml:space="preserve">rale </w:t>
      </w:r>
      <w:r w:rsidRPr="007C780E">
        <w:t xml:space="preserve">terminale </w:t>
      </w:r>
      <w:r w:rsidR="009E3CDF" w:rsidRPr="007C780E">
        <w:t xml:space="preserve">prend appui sur l’enseignement de spécialité </w:t>
      </w:r>
      <w:r w:rsidRPr="007C780E">
        <w:t xml:space="preserve">de </w:t>
      </w:r>
      <w:r w:rsidR="009E3CDF" w:rsidRPr="007C780E">
        <w:t>sciences et techniques sanitaires et sociales</w:t>
      </w:r>
      <w:r w:rsidR="001C1DC7" w:rsidRPr="007C780E">
        <w:t> :</w:t>
      </w:r>
      <w:r w:rsidR="00297ABC" w:rsidRPr="007C780E">
        <w:t xml:space="preserve"> elle sollicite </w:t>
      </w:r>
      <w:r w:rsidR="009E3CDF" w:rsidRPr="007C780E">
        <w:t>la démarche q</w:t>
      </w:r>
      <w:r w:rsidR="00881C6F" w:rsidRPr="007C780E">
        <w:t>ui caractérise cet enseignement</w:t>
      </w:r>
      <w:r w:rsidR="009E3CDF" w:rsidRPr="007C780E">
        <w:t xml:space="preserve"> </w:t>
      </w:r>
      <w:r w:rsidR="00297ABC" w:rsidRPr="007C780E">
        <w:t xml:space="preserve">pour examiner </w:t>
      </w:r>
      <w:r w:rsidR="009E3CDF" w:rsidRPr="007C780E">
        <w:t>une question de santé ou sociale contextualisée où l’élève est</w:t>
      </w:r>
      <w:r w:rsidR="00D06B5C" w:rsidRPr="007C780E">
        <w:t xml:space="preserve"> par exemple</w:t>
      </w:r>
      <w:r w:rsidR="009E3CDF" w:rsidRPr="007C780E">
        <w:t xml:space="preserve"> amené à</w:t>
      </w:r>
      <w:r w:rsidR="001C1DC7" w:rsidRPr="007C780E">
        <w:t> :</w:t>
      </w:r>
    </w:p>
    <w:p w:rsidR="009E3CDF" w:rsidRPr="007C780E" w:rsidRDefault="009E3CDF" w:rsidP="007C780E">
      <w:pPr>
        <w:pStyle w:val="liste"/>
      </w:pPr>
      <w:r w:rsidRPr="007C780E">
        <w:t>questionner, explorer un fait, une q</w:t>
      </w:r>
      <w:r w:rsidR="002D5DD5" w:rsidRPr="007C780E">
        <w:t xml:space="preserve">uestion </w:t>
      </w:r>
      <w:r w:rsidR="00297ABC" w:rsidRPr="007C780E">
        <w:t>sociale ou de santé</w:t>
      </w:r>
      <w:r w:rsidR="001C1DC7" w:rsidRPr="007C780E">
        <w:t> ;</w:t>
      </w:r>
    </w:p>
    <w:p w:rsidR="009E3CDF" w:rsidRPr="007C780E" w:rsidRDefault="009E3CDF" w:rsidP="007C780E">
      <w:pPr>
        <w:pStyle w:val="liste"/>
      </w:pPr>
      <w:r w:rsidRPr="007C780E">
        <w:t>recueillir les éléments nécessaires à son projet</w:t>
      </w:r>
      <w:r w:rsidR="001C1DC7" w:rsidRPr="007C780E">
        <w:t> :</w:t>
      </w:r>
      <w:r w:rsidRPr="007C780E">
        <w:t xml:space="preserve"> recherche documentaire, mobilisation des bases spécifiques au domaine</w:t>
      </w:r>
      <w:r w:rsidR="001C1DC7" w:rsidRPr="007C780E">
        <w:t> ;</w:t>
      </w:r>
      <w:r w:rsidRPr="007C780E">
        <w:t xml:space="preserve"> recueil et analyse de données</w:t>
      </w:r>
      <w:r w:rsidR="001C1DC7" w:rsidRPr="007C780E">
        <w:t> ;</w:t>
      </w:r>
      <w:r w:rsidRPr="007C780E">
        <w:t xml:space="preserve"> identification, voire prise de contact avec les structures du champ santé-social</w:t>
      </w:r>
      <w:r w:rsidR="001C1DC7" w:rsidRPr="007C780E">
        <w:t> ;</w:t>
      </w:r>
      <w:r w:rsidRPr="007C780E">
        <w:t xml:space="preserve"> repérage des politiques de santé</w:t>
      </w:r>
      <w:r w:rsidR="00F90323" w:rsidRPr="007C780E">
        <w:t> </w:t>
      </w:r>
      <w:r w:rsidRPr="007C780E">
        <w:t>/</w:t>
      </w:r>
      <w:r w:rsidR="00F90323" w:rsidRPr="007C780E">
        <w:t> </w:t>
      </w:r>
      <w:r w:rsidRPr="007C780E">
        <w:t>socia</w:t>
      </w:r>
      <w:r w:rsidR="002D5DD5" w:rsidRPr="007C780E">
        <w:t>les en lien avec l’objet étudié</w:t>
      </w:r>
      <w:r w:rsidR="001C1DC7" w:rsidRPr="007C780E">
        <w:t> ;</w:t>
      </w:r>
    </w:p>
    <w:p w:rsidR="009E3CDF" w:rsidRPr="007C780E" w:rsidRDefault="002D5DD5" w:rsidP="007C780E">
      <w:pPr>
        <w:pStyle w:val="liste"/>
      </w:pPr>
      <w:r w:rsidRPr="007C780E">
        <w:t>ajuster, adapter sa démarche</w:t>
      </w:r>
      <w:r w:rsidR="001C1DC7" w:rsidRPr="007C780E">
        <w:t> ;</w:t>
      </w:r>
    </w:p>
    <w:p w:rsidR="009E3CDF" w:rsidRPr="007C780E" w:rsidRDefault="009E3CDF" w:rsidP="007C780E">
      <w:pPr>
        <w:pStyle w:val="liste"/>
      </w:pPr>
      <w:r w:rsidRPr="007C780E">
        <w:t xml:space="preserve">mener l’étude du besoin repéré et se projeter dans une </w:t>
      </w:r>
      <w:r w:rsidR="002355A5" w:rsidRPr="007C780E">
        <w:t>démarche de projet possible, ou</w:t>
      </w:r>
      <w:r w:rsidRPr="007C780E">
        <w:rPr>
          <w:color w:val="FF0000"/>
        </w:rPr>
        <w:t xml:space="preserve"> </w:t>
      </w:r>
      <w:r w:rsidRPr="007C780E">
        <w:t>analyser la démarche de projet menée par une/des structures du champ santé-social.</w:t>
      </w:r>
    </w:p>
    <w:p w:rsidR="001C1DC7" w:rsidRPr="007C780E" w:rsidRDefault="009E3CDF" w:rsidP="007C780E">
      <w:r w:rsidRPr="007C780E">
        <w:t>Selon le thème du projet, les acquis d</w:t>
      </w:r>
      <w:r w:rsidR="002D5DD5" w:rsidRPr="007C780E">
        <w:t>e l’enseignement de spécialité de chimie-b</w:t>
      </w:r>
      <w:r w:rsidRPr="007C780E">
        <w:t>iologie et physiopathologie humaines sont éventuellement mobilisés.</w:t>
      </w:r>
    </w:p>
    <w:p w:rsidR="001C1DC7" w:rsidRPr="007C780E" w:rsidRDefault="002D5DD5" w:rsidP="007C780E">
      <w:r w:rsidRPr="007C780E">
        <w:t xml:space="preserve">Les </w:t>
      </w:r>
      <w:r w:rsidR="00BF4F74" w:rsidRPr="007C780E">
        <w:t xml:space="preserve">professeurs </w:t>
      </w:r>
      <w:r w:rsidR="000E26E0" w:rsidRPr="007C780E">
        <w:t xml:space="preserve">s’attachent </w:t>
      </w:r>
      <w:r w:rsidR="009E3CDF" w:rsidRPr="007C780E">
        <w:t>à développer chez les élèves les compétences liées à l’analyse</w:t>
      </w:r>
      <w:r w:rsidR="000A09F3" w:rsidRPr="007C780E">
        <w:t>, au jugement distancié</w:t>
      </w:r>
      <w:r w:rsidR="009E3CDF" w:rsidRPr="007C780E">
        <w:t xml:space="preserve">, </w:t>
      </w:r>
      <w:r w:rsidR="00295C35" w:rsidRPr="007C780E">
        <w:t xml:space="preserve">ainsi que </w:t>
      </w:r>
      <w:r w:rsidR="009E3CDF" w:rsidRPr="007C780E">
        <w:t xml:space="preserve">les compétences de communication écrite et orale qui </w:t>
      </w:r>
      <w:r w:rsidR="000E26E0" w:rsidRPr="007C780E">
        <w:t>sont attendues dans</w:t>
      </w:r>
      <w:r w:rsidR="009E3CDF" w:rsidRPr="007C780E">
        <w:t xml:space="preserve"> l’explicitation et l’argumentation. </w:t>
      </w:r>
      <w:r w:rsidR="002315F9" w:rsidRPr="007C780E">
        <w:t>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3532E1" w:rsidRPr="007C780E" w:rsidRDefault="003532E1" w:rsidP="007C780E">
      <w:r w:rsidRPr="007C780E">
        <w:br w:type="page"/>
      </w:r>
    </w:p>
    <w:p w:rsidR="001C1DC7" w:rsidRPr="007C780E" w:rsidRDefault="009E3CDF" w:rsidP="007C780E">
      <w:pPr>
        <w:pStyle w:val="Titre2"/>
        <w:rPr>
          <w:i/>
        </w:rPr>
      </w:pPr>
      <w:bookmarkStart w:id="6" w:name="_Toc8396266"/>
      <w:bookmarkStart w:id="7" w:name="_Toc8815391"/>
      <w:r w:rsidRPr="007C780E">
        <w:lastRenderedPageBreak/>
        <w:t>C</w:t>
      </w:r>
      <w:r w:rsidR="003532E1" w:rsidRPr="007C780E">
        <w:t>himie</w:t>
      </w:r>
      <w:bookmarkEnd w:id="6"/>
      <w:bookmarkEnd w:id="7"/>
    </w:p>
    <w:p w:rsidR="001C1DC7" w:rsidRPr="007C780E" w:rsidRDefault="009E3CDF" w:rsidP="007C780E">
      <w:pPr>
        <w:pStyle w:val="Titre3"/>
      </w:pPr>
      <w:bookmarkStart w:id="8" w:name="_Toc8396267"/>
      <w:bookmarkStart w:id="9" w:name="_Toc8815392"/>
      <w:r w:rsidRPr="007C780E">
        <w:t>C</w:t>
      </w:r>
      <w:r w:rsidR="002D5DD5" w:rsidRPr="007C780E">
        <w:t>himie et enjeux contemporains</w:t>
      </w:r>
      <w:bookmarkEnd w:id="8"/>
      <w:bookmarkEnd w:id="9"/>
    </w:p>
    <w:p w:rsidR="009E3CDF" w:rsidRPr="007C780E" w:rsidRDefault="00983686" w:rsidP="007C780E">
      <w:r w:rsidRPr="007C780E">
        <w:t>L’enseignement de ch</w:t>
      </w:r>
      <w:r w:rsidR="009E3CDF" w:rsidRPr="007C780E">
        <w:t xml:space="preserve">imie en classe </w:t>
      </w:r>
      <w:r w:rsidRPr="007C780E">
        <w:t>t</w:t>
      </w:r>
      <w:r w:rsidR="009E3CDF" w:rsidRPr="007C780E">
        <w:t>erminale participe à la sensibilisation à la santé et à la citoyenneté en s’appuyant sur des problématiques scientifiques contemporaines.</w:t>
      </w:r>
    </w:p>
    <w:p w:rsidR="001C1DC7" w:rsidRPr="007C780E" w:rsidRDefault="009E3CDF" w:rsidP="007C780E">
      <w:r w:rsidRPr="007C780E">
        <w:t xml:space="preserve"> </w:t>
      </w:r>
      <w:r w:rsidR="000E26E0" w:rsidRPr="007C780E">
        <w:t>I</w:t>
      </w:r>
      <w:r w:rsidRPr="007C780E">
        <w:t xml:space="preserve">l met d’abord l’accent sur les aspects de la détection, de l’analyse et de la </w:t>
      </w:r>
      <w:r w:rsidR="00BF4F74" w:rsidRPr="007C780E">
        <w:t>conformité</w:t>
      </w:r>
      <w:r w:rsidRPr="007C780E">
        <w:t xml:space="preserve"> à des normes, pour une amélioration de la sécurité dans les domaines de la santé et de l’environnement. Les études de cas incluent notamment la détection de substances illicites dans l’organisme et le contrôle de la qualité dans les aliments, l’eau et l’air.</w:t>
      </w:r>
    </w:p>
    <w:p w:rsidR="001C1DC7" w:rsidRPr="007C780E" w:rsidRDefault="00562BD5" w:rsidP="007C780E">
      <w:r w:rsidRPr="007C780E">
        <w:t>L</w:t>
      </w:r>
      <w:r w:rsidR="009E3CDF" w:rsidRPr="007C780E">
        <w:t xml:space="preserve">’explicitation des performances de l’analyse des structures par imagerie médicale et de l’analyse chimique des milieux biologiques, aquatiques et atmosphériques permet de former à la démarche de diagnostic et </w:t>
      </w:r>
      <w:r w:rsidRPr="007C780E">
        <w:t xml:space="preserve">de sensibiliser aux différents </w:t>
      </w:r>
      <w:r w:rsidR="009E3CDF" w:rsidRPr="007C780E">
        <w:t>défis à relever dans les domaines de la santé et de l’environnement.</w:t>
      </w:r>
    </w:p>
    <w:p w:rsidR="001C1DC7" w:rsidRPr="007C780E" w:rsidRDefault="00236E39" w:rsidP="007C780E">
      <w:r w:rsidRPr="007C780E">
        <w:t>L</w:t>
      </w:r>
      <w:r w:rsidR="009E3CDF" w:rsidRPr="007C780E">
        <w:t>’information sur la composition chimique d’un produit de consommation et la compréhension des liens entre structure moléculaire et activité contribuent à développer la culture d’une consommation réfléchie d’aliments, de médicaments et de produits cosmétiques</w:t>
      </w:r>
      <w:r w:rsidRPr="007C780E">
        <w:t>,</w:t>
      </w:r>
      <w:r w:rsidR="009E3CDF" w:rsidRPr="007C780E">
        <w:t xml:space="preserve"> et à envisager des perspectives de synthèse de substances plus performantes selon les principes de la chimie verte.</w:t>
      </w:r>
    </w:p>
    <w:p w:rsidR="001C1DC7" w:rsidRPr="007C780E" w:rsidRDefault="009E3CDF" w:rsidP="007C780E">
      <w:pPr>
        <w:pStyle w:val="Titre3"/>
      </w:pPr>
      <w:bookmarkStart w:id="10" w:name="_Toc8396268"/>
      <w:bookmarkStart w:id="11" w:name="_Toc8815393"/>
      <w:r w:rsidRPr="007C780E">
        <w:t>C</w:t>
      </w:r>
      <w:r w:rsidR="00562477" w:rsidRPr="007C780E">
        <w:t>himie et démarche scientifique</w:t>
      </w:r>
      <w:bookmarkEnd w:id="10"/>
      <w:bookmarkEnd w:id="11"/>
    </w:p>
    <w:p w:rsidR="001C1DC7" w:rsidRPr="007C780E" w:rsidRDefault="009E3CDF" w:rsidP="007C780E">
      <w:r w:rsidRPr="007C780E">
        <w:t xml:space="preserve">La démarche scientifique est au </w:t>
      </w:r>
      <w:r w:rsidR="00236E39" w:rsidRPr="007C780E">
        <w:t xml:space="preserve">cœur </w:t>
      </w:r>
      <w:r w:rsidRPr="007C780E">
        <w:t xml:space="preserve">de l’enseignement de </w:t>
      </w:r>
      <w:r w:rsidR="000F7FC8" w:rsidRPr="007C780E">
        <w:t xml:space="preserve">la </w:t>
      </w:r>
      <w:r w:rsidRPr="007C780E">
        <w:t xml:space="preserve">chimie, pour une meilleure compréhension des lois universelles. Elle met l’accent sur l’analyse des informations qualitatives et des données quantitatives tout en évitant les aspects calculatoires excessifs. Elle permet la compréhension des phénomènes par l’expérimentation, l’usage éclairé de modèles simples, la vérification de lois simples, le raisonnement déductif ou prospectif. Les capacités exigibles de la démarche scientifique décrites dans le programme de </w:t>
      </w:r>
      <w:r w:rsidR="00562477" w:rsidRPr="007C780E">
        <w:t>physique-c</w:t>
      </w:r>
      <w:r w:rsidRPr="007C780E">
        <w:t xml:space="preserve">himie pour la santé en classe de </w:t>
      </w:r>
      <w:r w:rsidR="00562477" w:rsidRPr="007C780E">
        <w:t>p</w:t>
      </w:r>
      <w:r w:rsidRPr="007C780E">
        <w:t xml:space="preserve">remière </w:t>
      </w:r>
      <w:r w:rsidR="00DD1766" w:rsidRPr="007C780E">
        <w:t>sont de nouveau sollicitées.</w:t>
      </w:r>
    </w:p>
    <w:p w:rsidR="009E3CDF" w:rsidRPr="007C780E" w:rsidRDefault="009E3CDF" w:rsidP="007C780E">
      <w:r w:rsidRPr="007C780E">
        <w:t>Un soin est apporté à la présentation des unités et des ordres de grandeur</w:t>
      </w:r>
      <w:r w:rsidR="00CB33B8" w:rsidRPr="007C780E">
        <w:t>,</w:t>
      </w:r>
      <w:r w:rsidRPr="007C780E">
        <w:t xml:space="preserve"> et à la maîtrise de notions mathématiques et numériques simples (proportionnalité, fonctions, simulation, etc.). </w:t>
      </w:r>
      <w:r w:rsidR="008471E9" w:rsidRPr="007C780E">
        <w:t>L’enseignement vise</w:t>
      </w:r>
      <w:r w:rsidRPr="007C780E">
        <w:t xml:space="preserve"> également </w:t>
      </w:r>
      <w:r w:rsidR="008471E9" w:rsidRPr="007C780E">
        <w:t>à renforcer</w:t>
      </w:r>
      <w:r w:rsidR="00562477" w:rsidRPr="007C780E">
        <w:t xml:space="preserve"> la sensibilisation de l’élève, à partir d’</w:t>
      </w:r>
      <w:r w:rsidRPr="007C780E">
        <w:t xml:space="preserve">exemples simples </w:t>
      </w:r>
      <w:r w:rsidR="00C16C45" w:rsidRPr="007C780E">
        <w:t>et</w:t>
      </w:r>
      <w:r w:rsidR="00DD1766" w:rsidRPr="007C780E">
        <w:t xml:space="preserve"> pertinents</w:t>
      </w:r>
      <w:r w:rsidR="00CB33B8" w:rsidRPr="007C780E">
        <w:t>,</w:t>
      </w:r>
      <w:r w:rsidRPr="007C780E">
        <w:t xml:space="preserve"> à la </w:t>
      </w:r>
      <w:r w:rsidR="00DD1766" w:rsidRPr="007C780E">
        <w:t>fluctuation</w:t>
      </w:r>
      <w:r w:rsidRPr="007C780E">
        <w:t xml:space="preserve"> des valeurs obtenues dans le cadre d’une série de mesures</w:t>
      </w:r>
      <w:r w:rsidR="00DD1766" w:rsidRPr="007C780E">
        <w:t xml:space="preserve"> </w:t>
      </w:r>
      <w:r w:rsidRPr="007C780E">
        <w:t>d’une grandeur physique</w:t>
      </w:r>
      <w:r w:rsidR="00DD1766" w:rsidRPr="007C780E">
        <w:t xml:space="preserve"> indépendantes les unes des autres, en tenant compte de </w:t>
      </w:r>
      <w:r w:rsidRPr="007C780E">
        <w:t xml:space="preserve">l’incertitude-type. La comparaison à une valeur de référence, notamment dans le domaine sanitaire, </w:t>
      </w:r>
      <w:r w:rsidR="008471E9" w:rsidRPr="007C780E">
        <w:t xml:space="preserve">aiguise </w:t>
      </w:r>
      <w:r w:rsidRPr="007C780E">
        <w:t xml:space="preserve">l’esprit critique autour de la mesure. Le choix du protocole est également au </w:t>
      </w:r>
      <w:r w:rsidR="00CB33B8" w:rsidRPr="007C780E">
        <w:t xml:space="preserve">cœur </w:t>
      </w:r>
      <w:r w:rsidRPr="007C780E">
        <w:t>de la formation portée par les activ</w:t>
      </w:r>
      <w:r w:rsidR="008471E9" w:rsidRPr="007C780E">
        <w:t>ités expérimentales.</w:t>
      </w:r>
    </w:p>
    <w:p w:rsidR="001C1DC7" w:rsidRPr="007C780E" w:rsidRDefault="00CB33B8" w:rsidP="007C780E">
      <w:pPr>
        <w:rPr>
          <w:sz w:val="24"/>
          <w:szCs w:val="24"/>
        </w:rPr>
      </w:pPr>
      <w:r w:rsidRPr="007C780E">
        <w:rPr>
          <w:sz w:val="24"/>
          <w:szCs w:val="24"/>
        </w:rPr>
        <w:t xml:space="preserve">Pour construire les compétences attendues, </w:t>
      </w:r>
      <w:r w:rsidR="009E3CDF" w:rsidRPr="007C780E">
        <w:rPr>
          <w:sz w:val="24"/>
          <w:szCs w:val="24"/>
        </w:rPr>
        <w:t>différentes pratiques pédagogiques</w:t>
      </w:r>
      <w:r w:rsidRPr="007C780E">
        <w:rPr>
          <w:sz w:val="24"/>
          <w:szCs w:val="24"/>
        </w:rPr>
        <w:t xml:space="preserve"> sont mises en œuvre</w:t>
      </w:r>
      <w:r w:rsidR="009E3CDF" w:rsidRPr="007C780E">
        <w:rPr>
          <w:sz w:val="24"/>
          <w:szCs w:val="24"/>
        </w:rPr>
        <w:t>, conjuguant l’exposé, l’activité expérimentale, l’approche documentaire, la question ouverte</w:t>
      </w:r>
      <w:r w:rsidR="006C468B" w:rsidRPr="007C780E">
        <w:rPr>
          <w:sz w:val="24"/>
          <w:szCs w:val="24"/>
        </w:rPr>
        <w:t>,</w:t>
      </w:r>
      <w:r w:rsidR="009E3CDF" w:rsidRPr="007C780E">
        <w:rPr>
          <w:sz w:val="24"/>
          <w:szCs w:val="24"/>
        </w:rPr>
        <w:t xml:space="preserve"> etc. Les notions et contenus du programme sont présentés dans le contexte de la vie quotidienne et de l’actualité</w:t>
      </w:r>
      <w:r w:rsidR="008471E9" w:rsidRPr="007C780E">
        <w:rPr>
          <w:sz w:val="24"/>
          <w:szCs w:val="24"/>
        </w:rPr>
        <w:t xml:space="preserve"> de la société</w:t>
      </w:r>
      <w:r w:rsidR="009E3CDF" w:rsidRPr="007C780E">
        <w:rPr>
          <w:sz w:val="24"/>
          <w:szCs w:val="24"/>
        </w:rPr>
        <w:t>, et dans la perspective de la recherche et du développement. La formation met tout particulièrement l’accent sur les perspectives d’innovation scientifique dans des domaines tels que le contrôle et la gestion de la composition des milieux biologiques et naturels, la qualité des aliments, les médicaments et cosmétiques du futur. Cette sen</w:t>
      </w:r>
      <w:r w:rsidR="00A32F17" w:rsidRPr="007C780E">
        <w:rPr>
          <w:sz w:val="24"/>
          <w:szCs w:val="24"/>
        </w:rPr>
        <w:t>sibilisation poursuit le double</w:t>
      </w:r>
      <w:r w:rsidR="009E3CDF" w:rsidRPr="007C780E">
        <w:rPr>
          <w:sz w:val="24"/>
          <w:szCs w:val="24"/>
        </w:rPr>
        <w:t xml:space="preserve"> </w:t>
      </w:r>
      <w:r w:rsidR="00AB69F0" w:rsidRPr="007C780E">
        <w:rPr>
          <w:sz w:val="24"/>
          <w:szCs w:val="24"/>
        </w:rPr>
        <w:t xml:space="preserve">objectif </w:t>
      </w:r>
      <w:r w:rsidR="009E3CDF" w:rsidRPr="007C780E">
        <w:rPr>
          <w:sz w:val="24"/>
          <w:szCs w:val="24"/>
        </w:rPr>
        <w:t>d’adapter la formation aux enjeux de culture scientifique contemporaine et de susciter une a</w:t>
      </w:r>
      <w:r w:rsidR="00EF7BDB" w:rsidRPr="007C780E">
        <w:rPr>
          <w:sz w:val="24"/>
          <w:szCs w:val="24"/>
        </w:rPr>
        <w:t>mbition de poursuite d’études.</w:t>
      </w:r>
    </w:p>
    <w:p w:rsidR="001C1DC7" w:rsidRPr="007C780E" w:rsidRDefault="009E3CDF" w:rsidP="007C780E">
      <w:pPr>
        <w:pStyle w:val="Titre3"/>
      </w:pPr>
      <w:bookmarkStart w:id="12" w:name="_Toc8396269"/>
      <w:bookmarkStart w:id="13" w:name="_Toc8815394"/>
      <w:r w:rsidRPr="007C780E">
        <w:t>E</w:t>
      </w:r>
      <w:r w:rsidR="00562477" w:rsidRPr="007C780E">
        <w:t>ntrées thématiques</w:t>
      </w:r>
      <w:bookmarkEnd w:id="12"/>
      <w:bookmarkEnd w:id="13"/>
    </w:p>
    <w:p w:rsidR="001C1DC7" w:rsidRPr="007C780E" w:rsidRDefault="009E3CDF" w:rsidP="007C780E">
      <w:r w:rsidRPr="007C780E">
        <w:t xml:space="preserve">Les trois thèmes structurant l’enseignement de </w:t>
      </w:r>
      <w:r w:rsidR="00562477" w:rsidRPr="007C780E">
        <w:t>physique-c</w:t>
      </w:r>
      <w:r w:rsidRPr="007C780E">
        <w:t xml:space="preserve">himie pour la santé en classe de </w:t>
      </w:r>
      <w:r w:rsidR="00562477" w:rsidRPr="007C780E">
        <w:t>p</w:t>
      </w:r>
      <w:r w:rsidRPr="007C780E">
        <w:t>remière sont recon</w:t>
      </w:r>
      <w:r w:rsidR="00562477" w:rsidRPr="007C780E">
        <w:t>duits dans l’enseignement de c</w:t>
      </w:r>
      <w:r w:rsidRPr="007C780E">
        <w:t>himie</w:t>
      </w:r>
      <w:r w:rsidR="00562477" w:rsidRPr="007C780E">
        <w:t xml:space="preserve"> </w:t>
      </w:r>
      <w:r w:rsidRPr="007C780E">
        <w:t xml:space="preserve">en classe </w:t>
      </w:r>
      <w:r w:rsidR="00562477" w:rsidRPr="007C780E">
        <w:t>t</w:t>
      </w:r>
      <w:r w:rsidRPr="007C780E">
        <w:t xml:space="preserve">erminale, </w:t>
      </w:r>
      <w:r w:rsidR="00AB69F0" w:rsidRPr="007C780E">
        <w:t xml:space="preserve">selon une </w:t>
      </w:r>
      <w:r w:rsidR="00AB69F0" w:rsidRPr="007C780E">
        <w:lastRenderedPageBreak/>
        <w:t xml:space="preserve">déclinaison nouvelle des </w:t>
      </w:r>
      <w:r w:rsidRPr="007C780E">
        <w:t xml:space="preserve">parties thématiques et </w:t>
      </w:r>
      <w:r w:rsidR="00AB69F0" w:rsidRPr="007C780E">
        <w:t xml:space="preserve">des </w:t>
      </w:r>
      <w:r w:rsidRPr="007C780E">
        <w:t xml:space="preserve">questions. Chaque partie thématique est présentée sous la forme d’un tableau </w:t>
      </w:r>
      <w:r w:rsidR="00AB69F0" w:rsidRPr="007C780E">
        <w:t xml:space="preserve">qui explicite </w:t>
      </w:r>
      <w:r w:rsidRPr="007C780E">
        <w:t>les notions et les contenus, éclairés</w:t>
      </w:r>
      <w:r w:rsidR="00886533" w:rsidRPr="007C780E">
        <w:t xml:space="preserve"> par les </w:t>
      </w:r>
      <w:r w:rsidR="002417B5" w:rsidRPr="007C780E">
        <w:t>connaissances et</w:t>
      </w:r>
      <w:r w:rsidRPr="007C780E">
        <w:t xml:space="preserve"> </w:t>
      </w:r>
      <w:r w:rsidR="00886533" w:rsidRPr="007C780E">
        <w:t xml:space="preserve">les </w:t>
      </w:r>
      <w:r w:rsidRPr="007C780E">
        <w:t xml:space="preserve">capacités exigibles. Celles-ci intègrent notamment le domaine expérimental, </w:t>
      </w:r>
      <w:r w:rsidR="00AB69F0" w:rsidRPr="007C780E">
        <w:t>dont les activités sont signalées par des italiques dans les tableaux</w:t>
      </w:r>
      <w:r w:rsidRPr="007C780E">
        <w:t>. La liberté pédagogique du professeur s’exerce dans le respect du</w:t>
      </w:r>
      <w:r w:rsidR="00562477" w:rsidRPr="007C780E">
        <w:t xml:space="preserve"> cadre défini par la colonne « C</w:t>
      </w:r>
      <w:r w:rsidRPr="007C780E">
        <w:t>onnaissances et capacités exigibles »</w:t>
      </w:r>
      <w:r w:rsidR="00AB69F0" w:rsidRPr="007C780E">
        <w:t>. L</w:t>
      </w:r>
      <w:r w:rsidRPr="007C780E">
        <w:t xml:space="preserve">es notions et contenus, notamment lorsqu’ils relèvent des sciences du vivant, sont </w:t>
      </w:r>
      <w:r w:rsidR="00AB69F0" w:rsidRPr="007C780E">
        <w:t xml:space="preserve">abordés </w:t>
      </w:r>
      <w:r w:rsidRPr="007C780E">
        <w:t>sous l’angle des principes physico-chimiques pour favoriser la transversalité et la complémentarité avec les enseignements de biologie et physiopathologie humaines.</w:t>
      </w:r>
      <w:r w:rsidRPr="007C780E">
        <w:rPr>
          <w:b/>
        </w:rPr>
        <w:t xml:space="preserve"> </w:t>
      </w:r>
      <w:r w:rsidRPr="007C780E">
        <w:t xml:space="preserve">Chacun des thèmes </w:t>
      </w:r>
      <w:r w:rsidR="008D701A" w:rsidRPr="007C780E">
        <w:t>précise les</w:t>
      </w:r>
      <w:r w:rsidRPr="007C780E">
        <w:t xml:space="preserve"> aspects scientifiques et de contexte, ainsi que les perspectives et les défis dans les domaines de la recherche et du développement.</w:t>
      </w:r>
    </w:p>
    <w:p w:rsidR="001C1DC7" w:rsidRPr="007C780E" w:rsidRDefault="009E3CDF" w:rsidP="00720A6A">
      <w:pPr>
        <w:pStyle w:val="Titre3"/>
        <w:spacing w:before="480"/>
      </w:pPr>
      <w:bookmarkStart w:id="14" w:name="_Toc8396270"/>
      <w:bookmarkStart w:id="15" w:name="_Toc8815395"/>
      <w:r w:rsidRPr="007C780E">
        <w:t>C</w:t>
      </w:r>
      <w:r w:rsidR="00562477" w:rsidRPr="007C780E">
        <w:t xml:space="preserve">ontenus </w:t>
      </w:r>
      <w:bookmarkEnd w:id="14"/>
      <w:bookmarkEnd w:id="15"/>
      <w:r w:rsidR="00886533" w:rsidRPr="007C780E">
        <w:t>d’enseignement</w:t>
      </w:r>
    </w:p>
    <w:p w:rsidR="001C1DC7" w:rsidRPr="007C780E" w:rsidRDefault="009E3CDF" w:rsidP="007C780E">
      <w:pPr>
        <w:pStyle w:val="Titre4"/>
      </w:pPr>
      <w:bookmarkStart w:id="16" w:name="_Toc8396271"/>
      <w:bookmarkStart w:id="17" w:name="_Toc8815396"/>
      <w:r w:rsidRPr="007C780E">
        <w:t>T</w:t>
      </w:r>
      <w:r w:rsidR="00562477" w:rsidRPr="007C780E">
        <w:t>hème 1</w:t>
      </w:r>
      <w:r w:rsidR="001C1DC7" w:rsidRPr="007C780E">
        <w:t> :</w:t>
      </w:r>
      <w:r w:rsidR="00562477" w:rsidRPr="007C780E">
        <w:t xml:space="preserve"> Prévenir et sécuriser</w:t>
      </w:r>
      <w:bookmarkEnd w:id="16"/>
      <w:bookmarkEnd w:id="17"/>
    </w:p>
    <w:p w:rsidR="001C1DC7" w:rsidRPr="007C780E" w:rsidRDefault="009E3CDF" w:rsidP="007C780E">
      <w:r w:rsidRPr="007C780E">
        <w:t xml:space="preserve">Le thème 1 vise à </w:t>
      </w:r>
      <w:r w:rsidR="00AB69F0" w:rsidRPr="007C780E">
        <w:t>développer</w:t>
      </w:r>
      <w:r w:rsidRPr="007C780E">
        <w:t xml:space="preserve"> la sensibilisation à la prévention et à la sécurisation. </w:t>
      </w:r>
      <w:r w:rsidR="004D0E1F" w:rsidRPr="007C780E">
        <w:t xml:space="preserve">Il atteste l’attention croissante portée à l’amélioration </w:t>
      </w:r>
      <w:r w:rsidRPr="007C780E">
        <w:t>de la connaissance et de la gestion du risque sanitaire dans l’alimentation et dans l’environnement.</w:t>
      </w:r>
    </w:p>
    <w:p w:rsidR="002660F6" w:rsidRPr="007C780E" w:rsidRDefault="009E3CDF" w:rsidP="007C780E">
      <w:pPr>
        <w:pStyle w:val="Titre5"/>
        <w:spacing w:after="120"/>
        <w:rPr>
          <w:rFonts w:cs="Arial"/>
          <w:sz w:val="24"/>
          <w:lang w:eastAsia="fr-FR"/>
        </w:rPr>
      </w:pPr>
      <w:bookmarkStart w:id="18" w:name="_Toc8396272"/>
      <w:bookmarkStart w:id="19" w:name="_Toc8815397"/>
      <w:bookmarkStart w:id="20" w:name="_Toc8816188"/>
      <w:r w:rsidRPr="007C780E">
        <w:rPr>
          <w:rFonts w:eastAsia="Calibri"/>
          <w:lang w:eastAsia="fr-FR"/>
        </w:rPr>
        <w:t>La sécurité routière</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95"/>
        <w:gridCol w:w="6233"/>
      </w:tblGrid>
      <w:tr w:rsidR="009E3CDF" w:rsidRPr="000D48C2" w:rsidTr="000D48C2">
        <w:trPr>
          <w:trHeight w:val="20"/>
        </w:trPr>
        <w:tc>
          <w:tcPr>
            <w:tcW w:w="1586" w:type="pct"/>
            <w:shd w:val="clear" w:color="auto" w:fill="auto"/>
            <w:vAlign w:val="center"/>
          </w:tcPr>
          <w:p w:rsidR="009E3CDF" w:rsidRPr="000D48C2" w:rsidRDefault="009E3CDF" w:rsidP="000D48C2">
            <w:pPr>
              <w:pStyle w:val="Titre5tableau"/>
            </w:pPr>
            <w:r w:rsidRPr="000D48C2">
              <w:t>Notions et contenus</w:t>
            </w:r>
          </w:p>
        </w:tc>
        <w:tc>
          <w:tcPr>
            <w:tcW w:w="3414" w:type="pct"/>
            <w:shd w:val="clear" w:color="auto" w:fill="auto"/>
            <w:vAlign w:val="center"/>
          </w:tcPr>
          <w:p w:rsidR="009E3CDF" w:rsidRPr="000D48C2" w:rsidRDefault="009E3CDF" w:rsidP="000D48C2">
            <w:pPr>
              <w:pStyle w:val="Titre5tableau"/>
            </w:pPr>
            <w:r w:rsidRPr="000D48C2">
              <w:t>Connaissances et capacités exigibles</w:t>
            </w:r>
          </w:p>
          <w:p w:rsidR="009E3CDF" w:rsidRPr="00E10257" w:rsidRDefault="009E3CDF" w:rsidP="000D48C2">
            <w:pPr>
              <w:pStyle w:val="Titre5tableau"/>
              <w:rPr>
                <w:i/>
              </w:rPr>
            </w:pPr>
            <w:r w:rsidRPr="00E10257">
              <w:rPr>
                <w:i/>
              </w:rPr>
              <w:t>Activités expérimentales support de la formation</w:t>
            </w:r>
          </w:p>
        </w:tc>
      </w:tr>
      <w:tr w:rsidR="009E3CDF" w:rsidRPr="000D48C2" w:rsidTr="000D48C2">
        <w:trPr>
          <w:trHeight w:val="20"/>
        </w:trPr>
        <w:tc>
          <w:tcPr>
            <w:tcW w:w="5000" w:type="pct"/>
            <w:gridSpan w:val="2"/>
            <w:shd w:val="clear" w:color="auto" w:fill="auto"/>
          </w:tcPr>
          <w:p w:rsidR="009E3CDF" w:rsidRPr="000D48C2" w:rsidRDefault="009E3CDF" w:rsidP="000D48C2">
            <w:pPr>
              <w:pStyle w:val="Titre4tableau"/>
            </w:pPr>
            <w:r w:rsidRPr="000D48C2">
              <w:t>Comment une transformation chimique permet-elle de gonfler un airbag/coussin gonflable</w:t>
            </w:r>
            <w:r w:rsidR="001C1DC7" w:rsidRPr="000D48C2">
              <w:t> ?</w:t>
            </w:r>
          </w:p>
        </w:tc>
      </w:tr>
      <w:tr w:rsidR="009E3CDF" w:rsidRPr="000D48C2" w:rsidTr="000D48C2">
        <w:trPr>
          <w:trHeight w:val="20"/>
        </w:trPr>
        <w:tc>
          <w:tcPr>
            <w:tcW w:w="1586" w:type="pct"/>
            <w:shd w:val="clear" w:color="auto" w:fill="auto"/>
          </w:tcPr>
          <w:p w:rsidR="001C1DC7" w:rsidRPr="000D48C2" w:rsidRDefault="009E3CDF" w:rsidP="000D48C2">
            <w:pPr>
              <w:pStyle w:val="Contenudetableau"/>
            </w:pPr>
            <w:r w:rsidRPr="000D48C2">
              <w:t>Bilan de matière</w:t>
            </w:r>
          </w:p>
          <w:p w:rsidR="009E3CDF" w:rsidRPr="000D48C2" w:rsidRDefault="009E3CDF" w:rsidP="000D48C2">
            <w:pPr>
              <w:pStyle w:val="Contenudetableau"/>
            </w:pPr>
            <w:r w:rsidRPr="000D48C2">
              <w:t xml:space="preserve">Volume molaire </w:t>
            </w:r>
            <w:proofErr w:type="spellStart"/>
            <w:proofErr w:type="gramStart"/>
            <w:r w:rsidRPr="000D48C2">
              <w:rPr>
                <w:i/>
              </w:rPr>
              <w:t>V</w:t>
            </w:r>
            <w:r w:rsidRPr="000D48C2">
              <w:rPr>
                <w:i/>
                <w:vertAlign w:val="subscript"/>
              </w:rPr>
              <w:t>m</w:t>
            </w:r>
            <w:proofErr w:type="spellEnd"/>
            <w:r w:rsidR="000D48C2">
              <w:rPr>
                <w:i/>
                <w:vertAlign w:val="subscript"/>
              </w:rPr>
              <w:t xml:space="preserve"> </w:t>
            </w:r>
            <w:r w:rsidR="00E65062" w:rsidRPr="000D48C2">
              <w:t>.</w:t>
            </w:r>
            <w:proofErr w:type="gramEnd"/>
          </w:p>
        </w:tc>
        <w:tc>
          <w:tcPr>
            <w:tcW w:w="3414" w:type="pct"/>
            <w:shd w:val="clear" w:color="auto" w:fill="auto"/>
          </w:tcPr>
          <w:p w:rsidR="001C1DC7" w:rsidRPr="000D48C2" w:rsidRDefault="009E3CDF" w:rsidP="000D48C2">
            <w:pPr>
              <w:pStyle w:val="Contenudetableau"/>
              <w:rPr>
                <w:i/>
              </w:rPr>
            </w:pPr>
            <w:r w:rsidRPr="000D48C2">
              <w:rPr>
                <w:i/>
              </w:rPr>
              <w:t>Mettre en œuvre un protocole de mesure d’un volume de gaz produit lors d’une transformation chimique.</w:t>
            </w:r>
          </w:p>
          <w:p w:rsidR="009E3CDF" w:rsidRPr="000D48C2" w:rsidRDefault="009E3CDF" w:rsidP="000D48C2">
            <w:pPr>
              <w:pStyle w:val="Contenudetableau"/>
            </w:pPr>
            <w:r w:rsidRPr="000D48C2">
              <w:t xml:space="preserve">Faire un bilan de matière à partir d’une équation de réaction fournie. Utiliser la relation </w:t>
            </w:r>
            <w:r w:rsidRPr="00E10257">
              <w:rPr>
                <w:i/>
              </w:rPr>
              <w:t>V</w:t>
            </w:r>
            <w:r w:rsidRPr="000D48C2">
              <w:t xml:space="preserve"> = </w:t>
            </w:r>
            <w:r w:rsidRPr="00E10257">
              <w:rPr>
                <w:i/>
              </w:rPr>
              <w:t>n</w:t>
            </w:r>
            <w:r w:rsidR="000D48C2" w:rsidRPr="00E10257">
              <w:rPr>
                <w:i/>
              </w:rPr>
              <w:t> </w:t>
            </w:r>
            <w:r w:rsidRPr="000D48C2">
              <w:t>×</w:t>
            </w:r>
            <w:r w:rsidR="000D48C2" w:rsidRPr="000D48C2">
              <w:t> </w:t>
            </w:r>
            <w:proofErr w:type="spellStart"/>
            <w:proofErr w:type="gramStart"/>
            <w:r w:rsidRPr="00E10257">
              <w:rPr>
                <w:i/>
              </w:rPr>
              <w:t>V</w:t>
            </w:r>
            <w:r w:rsidRPr="000D48C2">
              <w:rPr>
                <w:vertAlign w:val="subscript"/>
              </w:rPr>
              <w:t>m</w:t>
            </w:r>
            <w:proofErr w:type="spellEnd"/>
            <w:r w:rsidR="00C03EE7" w:rsidRPr="000D48C2">
              <w:rPr>
                <w:vertAlign w:val="subscript"/>
              </w:rPr>
              <w:t xml:space="preserve"> </w:t>
            </w:r>
            <w:r w:rsidR="00C03EE7" w:rsidRPr="000D48C2">
              <w:t>.</w:t>
            </w:r>
            <w:proofErr w:type="gramEnd"/>
          </w:p>
          <w:p w:rsidR="009E3CDF" w:rsidRPr="000D48C2" w:rsidRDefault="009E3CDF" w:rsidP="000D48C2">
            <w:pPr>
              <w:pStyle w:val="Contenudetableau"/>
            </w:pPr>
            <w:r w:rsidRPr="000D48C2">
              <w:t>S’approprier et analyser des informations pour expliquer le fonctionnement d’un airbag.</w:t>
            </w:r>
          </w:p>
        </w:tc>
      </w:tr>
      <w:tr w:rsidR="009E3CDF" w:rsidRPr="000D48C2" w:rsidTr="000D48C2">
        <w:trPr>
          <w:trHeight w:val="20"/>
        </w:trPr>
        <w:tc>
          <w:tcPr>
            <w:tcW w:w="5000" w:type="pct"/>
            <w:gridSpan w:val="2"/>
            <w:shd w:val="clear" w:color="auto" w:fill="auto"/>
          </w:tcPr>
          <w:p w:rsidR="009E3CDF" w:rsidRPr="000D48C2" w:rsidRDefault="009E3CDF" w:rsidP="00E10257">
            <w:pPr>
              <w:pStyle w:val="Titre4tableau"/>
            </w:pPr>
            <w:r w:rsidRPr="000D48C2">
              <w:t>Comment la présence d’alcool et de substances illicites dans l’organisme est-elle détectée</w:t>
            </w:r>
            <w:r w:rsidR="001C1DC7" w:rsidRPr="000D48C2">
              <w:t> ?</w:t>
            </w:r>
          </w:p>
        </w:tc>
      </w:tr>
      <w:tr w:rsidR="009E3CDF" w:rsidRPr="000D48C2" w:rsidTr="000D48C2">
        <w:trPr>
          <w:trHeight w:val="20"/>
        </w:trPr>
        <w:tc>
          <w:tcPr>
            <w:tcW w:w="1586" w:type="pct"/>
            <w:shd w:val="clear" w:color="auto" w:fill="auto"/>
          </w:tcPr>
          <w:p w:rsidR="009E3CDF" w:rsidRPr="000D48C2" w:rsidRDefault="009E3CDF" w:rsidP="000D48C2">
            <w:pPr>
              <w:pStyle w:val="Contenudetableau"/>
            </w:pPr>
            <w:r w:rsidRPr="000D48C2">
              <w:t>Principe de l’alcootest</w:t>
            </w:r>
            <w:r w:rsidR="003C0E45" w:rsidRPr="000D48C2">
              <w:t>.</w:t>
            </w:r>
          </w:p>
        </w:tc>
        <w:tc>
          <w:tcPr>
            <w:tcW w:w="3414" w:type="pct"/>
            <w:shd w:val="clear" w:color="auto" w:fill="auto"/>
          </w:tcPr>
          <w:p w:rsidR="00EE46E8" w:rsidRPr="000D48C2" w:rsidRDefault="009E3CDF" w:rsidP="000D48C2">
            <w:pPr>
              <w:pStyle w:val="Contenudetableau"/>
            </w:pPr>
            <w:r w:rsidRPr="000D48C2">
              <w:t xml:space="preserve">Écrire l’équation de la réaction d’oxydoréduction </w:t>
            </w:r>
            <w:r w:rsidR="00881C6F" w:rsidRPr="000D48C2">
              <w:t>intervenant</w:t>
            </w:r>
            <w:r w:rsidRPr="000D48C2">
              <w:t xml:space="preserve"> dans un alcootest à partir des demi-équations d’oxydo-réduction fournies.</w:t>
            </w:r>
          </w:p>
          <w:p w:rsidR="00EE46E8" w:rsidRPr="000D48C2" w:rsidRDefault="009E3CDF" w:rsidP="000D48C2">
            <w:pPr>
              <w:pStyle w:val="Contenudetableau"/>
              <w:rPr>
                <w:i/>
              </w:rPr>
            </w:pPr>
            <w:r w:rsidRPr="000D48C2">
              <w:rPr>
                <w:i/>
              </w:rPr>
              <w:t>Mettre en œuvre un protocole illustrant le principe de l’alcootest.</w:t>
            </w:r>
          </w:p>
          <w:p w:rsidR="009E3CDF" w:rsidRPr="000D48C2" w:rsidRDefault="009E3CDF" w:rsidP="000D48C2">
            <w:pPr>
              <w:pStyle w:val="Contenudetableau"/>
            </w:pPr>
            <w:r w:rsidRPr="000D48C2">
              <w:t>S’approprier et analyser des informations relatives à la détection d’une substance illicite.</w:t>
            </w:r>
          </w:p>
        </w:tc>
      </w:tr>
    </w:tbl>
    <w:p w:rsidR="00203A29" w:rsidRPr="007C780E" w:rsidRDefault="00203A29" w:rsidP="009B77C3">
      <w:pPr>
        <w:spacing w:before="0"/>
      </w:pPr>
      <w:bookmarkStart w:id="21" w:name="_Toc8396273"/>
    </w:p>
    <w:p w:rsidR="009E3CDF" w:rsidRPr="007C780E" w:rsidRDefault="009E3CDF" w:rsidP="00F81ABB">
      <w:pPr>
        <w:pStyle w:val="Titre5"/>
        <w:pageBreakBefore/>
        <w:spacing w:after="120"/>
        <w:rPr>
          <w:rFonts w:eastAsia="Calibri"/>
          <w:bCs/>
          <w:lang w:eastAsia="fr-FR"/>
        </w:rPr>
      </w:pPr>
      <w:bookmarkStart w:id="22" w:name="_Toc8815398"/>
      <w:bookmarkStart w:id="23" w:name="_Toc8816189"/>
      <w:r w:rsidRPr="007C780E">
        <w:rPr>
          <w:rFonts w:eastAsia="Calibri"/>
          <w:lang w:eastAsia="fr-FR"/>
        </w:rPr>
        <w:lastRenderedPageBreak/>
        <w:t>La sécurité physico-chimique dans l’alimentation</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2"/>
        <w:gridCol w:w="6266"/>
      </w:tblGrid>
      <w:tr w:rsidR="009E3CDF" w:rsidRPr="000D48C2" w:rsidTr="000D48C2">
        <w:trPr>
          <w:trHeight w:val="20"/>
        </w:trPr>
        <w:tc>
          <w:tcPr>
            <w:tcW w:w="2977" w:type="dxa"/>
            <w:shd w:val="clear" w:color="auto" w:fill="auto"/>
            <w:vAlign w:val="center"/>
          </w:tcPr>
          <w:p w:rsidR="009E3CDF" w:rsidRPr="000D48C2" w:rsidRDefault="009E3CDF" w:rsidP="000D48C2">
            <w:pPr>
              <w:pStyle w:val="Titre5tableau"/>
            </w:pPr>
            <w:r w:rsidRPr="000D48C2">
              <w:t>Notions et contenus</w:t>
            </w:r>
          </w:p>
        </w:tc>
        <w:tc>
          <w:tcPr>
            <w:tcW w:w="6521" w:type="dxa"/>
            <w:shd w:val="clear" w:color="auto" w:fill="auto"/>
            <w:vAlign w:val="center"/>
          </w:tcPr>
          <w:p w:rsidR="009E3CDF" w:rsidRPr="000D48C2" w:rsidRDefault="009E3CDF" w:rsidP="000D48C2">
            <w:pPr>
              <w:pStyle w:val="Titre5tableau"/>
            </w:pPr>
            <w:r w:rsidRPr="000D48C2">
              <w:t>Connaissances et capacités exigibles</w:t>
            </w:r>
          </w:p>
          <w:p w:rsidR="009E3CDF" w:rsidRPr="000D48C2" w:rsidRDefault="009E3CDF" w:rsidP="000D48C2">
            <w:pPr>
              <w:pStyle w:val="Titre5tableau"/>
            </w:pPr>
            <w:r w:rsidRPr="000D48C2">
              <w:rPr>
                <w:rFonts w:eastAsia="Times"/>
                <w:i/>
              </w:rPr>
              <w:t>Activités expérimentales support de la formation</w:t>
            </w:r>
          </w:p>
        </w:tc>
      </w:tr>
      <w:tr w:rsidR="009E3CDF" w:rsidRPr="000D48C2" w:rsidTr="000D48C2">
        <w:trPr>
          <w:trHeight w:val="20"/>
        </w:trPr>
        <w:tc>
          <w:tcPr>
            <w:tcW w:w="9498" w:type="dxa"/>
            <w:gridSpan w:val="2"/>
            <w:shd w:val="clear" w:color="auto" w:fill="auto"/>
          </w:tcPr>
          <w:p w:rsidR="009E3CDF" w:rsidRPr="000D48C2" w:rsidRDefault="009E3CDF" w:rsidP="000D48C2">
            <w:pPr>
              <w:pStyle w:val="Titre4tableau"/>
            </w:pPr>
            <w:r w:rsidRPr="000D48C2">
              <w:t>Comment la dégradation des aliments peut-elle être ralentie</w:t>
            </w:r>
            <w:r w:rsidR="001C1DC7" w:rsidRPr="000D48C2">
              <w:t> ?</w:t>
            </w:r>
          </w:p>
        </w:tc>
      </w:tr>
      <w:tr w:rsidR="00EE46E8" w:rsidRPr="000D48C2" w:rsidTr="000D48C2">
        <w:trPr>
          <w:trHeight w:val="20"/>
        </w:trPr>
        <w:tc>
          <w:tcPr>
            <w:tcW w:w="2977" w:type="dxa"/>
            <w:shd w:val="clear" w:color="auto" w:fill="auto"/>
          </w:tcPr>
          <w:p w:rsidR="00A13BE2" w:rsidRPr="000D48C2" w:rsidRDefault="00A13BE2" w:rsidP="000D48C2">
            <w:pPr>
              <w:pStyle w:val="Contenudetableau"/>
            </w:pPr>
            <w:r w:rsidRPr="000D48C2">
              <w:t>Oxydation et dégradation des aliments.</w:t>
            </w:r>
          </w:p>
          <w:p w:rsidR="001C1DC7" w:rsidRPr="000D48C2" w:rsidRDefault="00A13BE2" w:rsidP="000D48C2">
            <w:pPr>
              <w:pStyle w:val="Contenudetableau"/>
            </w:pPr>
            <w:r w:rsidRPr="000D48C2">
              <w:t>Dégradation des lipides</w:t>
            </w:r>
            <w:r w:rsidR="001C1DC7" w:rsidRPr="000D48C2">
              <w:t> :</w:t>
            </w:r>
            <w:r w:rsidRPr="000D48C2">
              <w:t xml:space="preserve"> hydrolyse des triglycérides.</w:t>
            </w:r>
          </w:p>
          <w:p w:rsidR="00A13BE2" w:rsidRPr="000D48C2" w:rsidRDefault="00A13BE2" w:rsidP="000D48C2">
            <w:pPr>
              <w:pStyle w:val="Contenudetableau"/>
              <w:spacing w:before="240"/>
              <w:rPr>
                <w:rFonts w:cs="Arial"/>
                <w:b/>
              </w:rPr>
            </w:pPr>
            <w:r w:rsidRPr="000D48C2">
              <w:t>Conservation alimentaire</w:t>
            </w:r>
            <w:r w:rsidR="001C1DC7" w:rsidRPr="000D48C2">
              <w:t> :</w:t>
            </w:r>
            <w:r w:rsidRPr="000D48C2">
              <w:t xml:space="preserve"> procédés physiques et procédés chimiques.</w:t>
            </w:r>
          </w:p>
        </w:tc>
        <w:tc>
          <w:tcPr>
            <w:tcW w:w="6521" w:type="dxa"/>
            <w:shd w:val="clear" w:color="auto" w:fill="auto"/>
          </w:tcPr>
          <w:p w:rsidR="001C1DC7" w:rsidRPr="000D48C2" w:rsidRDefault="00A13BE2" w:rsidP="000D48C2">
            <w:pPr>
              <w:pStyle w:val="Contenudetableau"/>
              <w:rPr>
                <w:i/>
              </w:rPr>
            </w:pPr>
            <w:r w:rsidRPr="000D48C2">
              <w:rPr>
                <w:i/>
              </w:rPr>
              <w:t>À partir d’exemples de la vie quotidienne (brunissement d’un fruit, rancissement du beurre, caillage d’un lait</w:t>
            </w:r>
            <w:r w:rsidR="001C1DC7" w:rsidRPr="000D48C2">
              <w:rPr>
                <w:i/>
              </w:rPr>
              <w:t>, etc.</w:t>
            </w:r>
            <w:r w:rsidRPr="000D48C2">
              <w:rPr>
                <w:i/>
              </w:rPr>
              <w:t>), mettre en œuvre un protocole expérimental permettant d’identifier quelques facteurs favorisant la dégradation alimentaire (dioxygène de l’air, température, lumière, microorganismes</w:t>
            </w:r>
            <w:r w:rsidR="001C1DC7" w:rsidRPr="000D48C2">
              <w:rPr>
                <w:i/>
              </w:rPr>
              <w:t>, etc.</w:t>
            </w:r>
            <w:r w:rsidRPr="000D48C2">
              <w:rPr>
                <w:i/>
              </w:rPr>
              <w:t>) et de comparer leur influence.</w:t>
            </w:r>
          </w:p>
          <w:p w:rsidR="00A13BE2" w:rsidRPr="000D48C2" w:rsidRDefault="00A13BE2" w:rsidP="000D48C2">
            <w:pPr>
              <w:pStyle w:val="Contenudetableau"/>
              <w:rPr>
                <w:rFonts w:cs="Arial"/>
                <w:b/>
              </w:rPr>
            </w:pPr>
            <w:r w:rsidRPr="000D48C2">
              <w:t>À partir de l’évolution au cours du temps de la quantité d’acide gras, analyser la qualité alimentaire d’une huile, d’une graisse ou d’un beurre.</w:t>
            </w:r>
          </w:p>
        </w:tc>
      </w:tr>
      <w:tr w:rsidR="009E3CDF" w:rsidRPr="000D48C2" w:rsidTr="000D48C2">
        <w:trPr>
          <w:trHeight w:val="20"/>
        </w:trPr>
        <w:tc>
          <w:tcPr>
            <w:tcW w:w="2977" w:type="dxa"/>
            <w:shd w:val="clear" w:color="auto" w:fill="auto"/>
          </w:tcPr>
          <w:p w:rsidR="009E3CDF" w:rsidRPr="000D48C2" w:rsidRDefault="009E3CDF" w:rsidP="000D48C2">
            <w:pPr>
              <w:pStyle w:val="Contenudetableau"/>
              <w:rPr>
                <w:rFonts w:cs="Arial"/>
                <w:strike/>
              </w:rPr>
            </w:pPr>
            <w:r w:rsidRPr="000D48C2">
              <w:t>Applications industrielles</w:t>
            </w:r>
            <w:r w:rsidR="001C1DC7" w:rsidRPr="000D48C2">
              <w:t> :</w:t>
            </w:r>
            <w:r w:rsidRPr="000D48C2">
              <w:t xml:space="preserve"> chaîne de fabrication alimentaire, transport, stockage</w:t>
            </w:r>
            <w:r w:rsidR="003C0E45" w:rsidRPr="000D48C2">
              <w:t>.</w:t>
            </w:r>
          </w:p>
        </w:tc>
        <w:tc>
          <w:tcPr>
            <w:tcW w:w="6521" w:type="dxa"/>
            <w:shd w:val="clear" w:color="auto" w:fill="auto"/>
          </w:tcPr>
          <w:p w:rsidR="001C1DC7" w:rsidRPr="000D48C2" w:rsidRDefault="009E3CDF" w:rsidP="000D48C2">
            <w:pPr>
              <w:pStyle w:val="Contenudetableau"/>
            </w:pPr>
            <w:r w:rsidRPr="000D48C2">
              <w:t>À partir de documents relatifs à une ou deux techniques de conservation, identifier</w:t>
            </w:r>
            <w:r w:rsidR="00881C6F" w:rsidRPr="000D48C2">
              <w:t xml:space="preserve"> les facteurs physico-chimiques</w:t>
            </w:r>
            <w:r w:rsidR="00886533" w:rsidRPr="000D48C2">
              <w:t xml:space="preserve"> intervenant</w:t>
            </w:r>
            <w:r w:rsidR="001C1DC7" w:rsidRPr="000D48C2">
              <w:t> :</w:t>
            </w:r>
            <w:r w:rsidRPr="000D48C2">
              <w:t xml:space="preserve"> antioxydants, emballage, élimination de l’eau, utilisation de la chaleur, baisse de température, atmosphère contrôlée, rayonnements, conservateurs chimiques</w:t>
            </w:r>
            <w:r w:rsidR="001C1DC7" w:rsidRPr="000D48C2">
              <w:t>, etc.</w:t>
            </w:r>
          </w:p>
          <w:p w:rsidR="009E3CDF" w:rsidRPr="000D48C2" w:rsidRDefault="009E3CDF" w:rsidP="000D48C2">
            <w:pPr>
              <w:pStyle w:val="Contenudetableau"/>
            </w:pPr>
            <w:r w:rsidRPr="000D48C2">
              <w:t>Distinguer la conservation par procédé physique</w:t>
            </w:r>
            <w:r w:rsidR="00E036C7" w:rsidRPr="000D48C2">
              <w:t xml:space="preserve"> de </w:t>
            </w:r>
            <w:r w:rsidRPr="000D48C2">
              <w:t xml:space="preserve">la conservation par procédé chimique. </w:t>
            </w:r>
          </w:p>
        </w:tc>
      </w:tr>
      <w:tr w:rsidR="009E3CDF" w:rsidRPr="000D48C2" w:rsidTr="000D48C2">
        <w:trPr>
          <w:trHeight w:val="20"/>
        </w:trPr>
        <w:tc>
          <w:tcPr>
            <w:tcW w:w="9498" w:type="dxa"/>
            <w:gridSpan w:val="2"/>
            <w:shd w:val="clear" w:color="auto" w:fill="auto"/>
          </w:tcPr>
          <w:p w:rsidR="009E3CDF" w:rsidRPr="000D48C2" w:rsidRDefault="009E3CDF" w:rsidP="000D48C2">
            <w:pPr>
              <w:pStyle w:val="Titre4tableau"/>
            </w:pPr>
            <w:r w:rsidRPr="000D48C2">
              <w:t>Comment la qualité chimique des aliments est-elle repérée</w:t>
            </w:r>
            <w:r w:rsidR="001C1DC7" w:rsidRPr="000D48C2">
              <w:t> ?</w:t>
            </w:r>
          </w:p>
        </w:tc>
      </w:tr>
      <w:tr w:rsidR="009E3CDF" w:rsidRPr="000D48C2" w:rsidTr="000D48C2">
        <w:trPr>
          <w:trHeight w:val="20"/>
        </w:trPr>
        <w:tc>
          <w:tcPr>
            <w:tcW w:w="2977" w:type="dxa"/>
            <w:shd w:val="clear" w:color="auto" w:fill="auto"/>
          </w:tcPr>
          <w:p w:rsidR="001C1DC7" w:rsidRPr="000D48C2" w:rsidRDefault="009E3CDF" w:rsidP="000D48C2">
            <w:pPr>
              <w:pStyle w:val="Contenudetableau"/>
            </w:pPr>
            <w:r w:rsidRPr="000D48C2">
              <w:t>Contrôle de la qualité nutritionnelle d’un aliment par dosage</w:t>
            </w:r>
            <w:r w:rsidR="00A60C4C" w:rsidRPr="000D48C2">
              <w:t>.</w:t>
            </w:r>
          </w:p>
          <w:p w:rsidR="009E3CDF" w:rsidRPr="000D48C2" w:rsidRDefault="009E3CDF" w:rsidP="000D48C2">
            <w:pPr>
              <w:pStyle w:val="Contenudetableau"/>
            </w:pPr>
            <w:r w:rsidRPr="000D48C2">
              <w:t>Doses toxicologiques de référence</w:t>
            </w:r>
            <w:r w:rsidR="001C1DC7" w:rsidRPr="000D48C2">
              <w:t> :</w:t>
            </w:r>
            <w:r w:rsidRPr="000D48C2">
              <w:t xml:space="preserve"> DJA (dose journalière admissible) ou DJT (dose journalière tolérable)</w:t>
            </w:r>
          </w:p>
        </w:tc>
        <w:tc>
          <w:tcPr>
            <w:tcW w:w="6521" w:type="dxa"/>
            <w:shd w:val="clear" w:color="auto" w:fill="auto"/>
          </w:tcPr>
          <w:p w:rsidR="009E3CDF" w:rsidRPr="000D48C2" w:rsidRDefault="009E3CDF" w:rsidP="000D48C2">
            <w:pPr>
              <w:pStyle w:val="Contenudetableau"/>
              <w:rPr>
                <w:i/>
              </w:rPr>
            </w:pPr>
            <w:r w:rsidRPr="000D48C2">
              <w:rPr>
                <w:i/>
              </w:rPr>
              <w:t xml:space="preserve">Mettre en œuvre un protocole expérimental pour déterminer la fraîcheur d’un lait </w:t>
            </w:r>
            <w:r w:rsidR="00886533" w:rsidRPr="000D48C2">
              <w:rPr>
                <w:i/>
              </w:rPr>
              <w:t>conformément aux</w:t>
            </w:r>
            <w:r w:rsidRPr="000D48C2">
              <w:rPr>
                <w:i/>
              </w:rPr>
              <w:t xml:space="preserve"> normes de santé publique.</w:t>
            </w:r>
          </w:p>
          <w:p w:rsidR="009E3CDF" w:rsidRPr="000D48C2" w:rsidRDefault="009E3CDF" w:rsidP="000D48C2">
            <w:pPr>
              <w:pStyle w:val="Contenudetableau"/>
            </w:pPr>
            <w:r w:rsidRPr="000D48C2">
              <w:t>Analyser et interpréter des résultats de tests de détection ou de dosages mettant en évidence la présence dans les aliments de substances potentiellement dangereuses au-delà d’un seuil identifié.</w:t>
            </w:r>
          </w:p>
          <w:p w:rsidR="009E3CDF" w:rsidRPr="000D48C2" w:rsidRDefault="009E3CDF" w:rsidP="000D48C2">
            <w:pPr>
              <w:pStyle w:val="Contenudetableau"/>
            </w:pPr>
            <w:r w:rsidRPr="000D48C2">
              <w:t>Définir les doses de référence (DJA, DJT) et effectuer des calculs à partir de celle-ci.</w:t>
            </w:r>
          </w:p>
        </w:tc>
      </w:tr>
    </w:tbl>
    <w:p w:rsidR="00203A29" w:rsidRPr="007C780E" w:rsidRDefault="00203A29" w:rsidP="009B77C3">
      <w:pPr>
        <w:spacing w:before="0"/>
      </w:pPr>
      <w:bookmarkStart w:id="24" w:name="_Toc8396274"/>
    </w:p>
    <w:p w:rsidR="009E3CDF" w:rsidRPr="007C780E" w:rsidRDefault="009E3CDF" w:rsidP="009B77C3">
      <w:pPr>
        <w:pStyle w:val="Titre5"/>
        <w:spacing w:after="120"/>
        <w:rPr>
          <w:rFonts w:eastAsia="Calibri"/>
          <w:bCs/>
          <w:lang w:eastAsia="fr-FR"/>
        </w:rPr>
      </w:pPr>
      <w:bookmarkStart w:id="25" w:name="_Toc8815399"/>
      <w:bookmarkStart w:id="26" w:name="_Toc8816190"/>
      <w:r w:rsidRPr="007C780E">
        <w:rPr>
          <w:rFonts w:eastAsia="Calibri"/>
          <w:lang w:eastAsia="fr-FR"/>
        </w:rPr>
        <w:t>La sécurité chimique dans l’environnement</w:t>
      </w:r>
      <w:bookmarkEnd w:id="24"/>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2"/>
        <w:gridCol w:w="6266"/>
      </w:tblGrid>
      <w:tr w:rsidR="009E3CDF" w:rsidRPr="000D48C2" w:rsidTr="000D48C2">
        <w:trPr>
          <w:trHeight w:val="567"/>
        </w:trPr>
        <w:tc>
          <w:tcPr>
            <w:tcW w:w="2977" w:type="dxa"/>
            <w:shd w:val="clear" w:color="auto" w:fill="auto"/>
            <w:vAlign w:val="center"/>
          </w:tcPr>
          <w:p w:rsidR="009E3CDF" w:rsidRPr="000D48C2" w:rsidRDefault="009E3CDF" w:rsidP="000D48C2">
            <w:pPr>
              <w:pStyle w:val="Titre5tableau"/>
            </w:pPr>
            <w:r w:rsidRPr="000D48C2">
              <w:t>Notions et contenus</w:t>
            </w:r>
          </w:p>
        </w:tc>
        <w:tc>
          <w:tcPr>
            <w:tcW w:w="6521" w:type="dxa"/>
            <w:shd w:val="clear" w:color="auto" w:fill="auto"/>
            <w:vAlign w:val="center"/>
          </w:tcPr>
          <w:p w:rsidR="009E3CDF" w:rsidRPr="000D48C2" w:rsidRDefault="009E3CDF" w:rsidP="000D48C2">
            <w:pPr>
              <w:pStyle w:val="Titre5tableau"/>
            </w:pPr>
            <w:r w:rsidRPr="000D48C2">
              <w:t>Connaissances et capacités exigibles</w:t>
            </w:r>
          </w:p>
          <w:p w:rsidR="009E3CDF" w:rsidRPr="000D48C2" w:rsidRDefault="009E3CDF" w:rsidP="000D48C2">
            <w:pPr>
              <w:pStyle w:val="Titre5tableau"/>
            </w:pPr>
            <w:r w:rsidRPr="000D48C2">
              <w:rPr>
                <w:rFonts w:eastAsia="Times"/>
                <w:i/>
              </w:rPr>
              <w:t>Activités expérimentales support de la formation</w:t>
            </w:r>
          </w:p>
        </w:tc>
      </w:tr>
      <w:tr w:rsidR="009E3CDF" w:rsidRPr="000D48C2" w:rsidTr="000D48C2">
        <w:trPr>
          <w:trHeight w:val="454"/>
        </w:trPr>
        <w:tc>
          <w:tcPr>
            <w:tcW w:w="9498" w:type="dxa"/>
            <w:gridSpan w:val="2"/>
            <w:shd w:val="clear" w:color="auto" w:fill="auto"/>
          </w:tcPr>
          <w:p w:rsidR="009E3CDF" w:rsidRPr="000D48C2" w:rsidRDefault="009E3CDF" w:rsidP="000D48C2">
            <w:pPr>
              <w:pStyle w:val="Titre4tableau"/>
              <w:rPr>
                <w:strike/>
              </w:rPr>
            </w:pPr>
            <w:r w:rsidRPr="000D48C2">
              <w:t>Comment la qualité de l’eau est-elle contrôlée</w:t>
            </w:r>
            <w:r w:rsidR="001C1DC7" w:rsidRPr="000D48C2">
              <w:t> ?</w:t>
            </w:r>
          </w:p>
        </w:tc>
      </w:tr>
      <w:tr w:rsidR="009E3CDF" w:rsidRPr="000D48C2" w:rsidTr="000D48C2">
        <w:trPr>
          <w:trHeight w:val="1083"/>
        </w:trPr>
        <w:tc>
          <w:tcPr>
            <w:tcW w:w="2977" w:type="dxa"/>
            <w:tcBorders>
              <w:bottom w:val="single" w:sz="4" w:space="0" w:color="auto"/>
            </w:tcBorders>
            <w:shd w:val="clear" w:color="auto" w:fill="auto"/>
          </w:tcPr>
          <w:p w:rsidR="009E3CDF" w:rsidRPr="000D48C2" w:rsidRDefault="009E3CDF" w:rsidP="000D48C2">
            <w:pPr>
              <w:pStyle w:val="Contenudetableau"/>
            </w:pPr>
            <w:r w:rsidRPr="000D48C2">
              <w:t>Solubilité de substances ioniques dans l’eau</w:t>
            </w:r>
            <w:r w:rsidR="00AD65A6" w:rsidRPr="000D48C2">
              <w:t>.</w:t>
            </w:r>
          </w:p>
          <w:p w:rsidR="009E3CDF" w:rsidRPr="000D48C2" w:rsidRDefault="009E3CDF" w:rsidP="000D48C2">
            <w:pPr>
              <w:pStyle w:val="Contenudetableau"/>
            </w:pPr>
            <w:r w:rsidRPr="000D48C2">
              <w:t>Conductivité d’une eau et d’une solution aqueuse ionique</w:t>
            </w:r>
            <w:r w:rsidR="00AD65A6" w:rsidRPr="000D48C2">
              <w:t>.</w:t>
            </w:r>
          </w:p>
          <w:p w:rsidR="009E3CDF" w:rsidRPr="000D48C2" w:rsidRDefault="009E3CDF" w:rsidP="000D48C2">
            <w:pPr>
              <w:pStyle w:val="Contenudetableau"/>
            </w:pPr>
            <w:r w:rsidRPr="000D48C2">
              <w:t xml:space="preserve">Concentration ionique </w:t>
            </w:r>
            <w:r w:rsidR="00940E0F" w:rsidRPr="000D48C2">
              <w:t>en masse</w:t>
            </w:r>
            <w:r w:rsidR="00AD65A6" w:rsidRPr="000D48C2">
              <w:t>.</w:t>
            </w:r>
          </w:p>
          <w:p w:rsidR="009E3CDF" w:rsidRPr="000D48C2" w:rsidRDefault="009E3CDF" w:rsidP="000D48C2">
            <w:pPr>
              <w:pStyle w:val="Contenudetableau"/>
            </w:pPr>
            <w:r w:rsidRPr="000D48C2">
              <w:lastRenderedPageBreak/>
              <w:t xml:space="preserve">Concentration ionique </w:t>
            </w:r>
            <w:r w:rsidR="00940E0F" w:rsidRPr="000D48C2">
              <w:t>en quantité de matière</w:t>
            </w:r>
            <w:r w:rsidR="00AD65A6" w:rsidRPr="000D48C2">
              <w:t>.</w:t>
            </w:r>
          </w:p>
          <w:p w:rsidR="001C1DC7" w:rsidRPr="000D48C2" w:rsidRDefault="009E3CDF" w:rsidP="000D48C2">
            <w:pPr>
              <w:pStyle w:val="Contenudetableau"/>
            </w:pPr>
            <w:r w:rsidRPr="000D48C2">
              <w:t>Composition d’une eau.</w:t>
            </w:r>
          </w:p>
          <w:p w:rsidR="001C1DC7" w:rsidRPr="000D48C2" w:rsidRDefault="009E3CDF" w:rsidP="000D48C2">
            <w:pPr>
              <w:pStyle w:val="Contenudetableau"/>
            </w:pPr>
            <w:r w:rsidRPr="000D48C2">
              <w:t>Équivalence d’un dosage par titrage</w:t>
            </w:r>
            <w:r w:rsidR="00AD65A6" w:rsidRPr="000D48C2">
              <w:t>.</w:t>
            </w:r>
          </w:p>
          <w:p w:rsidR="009E3CDF" w:rsidRPr="000D48C2" w:rsidRDefault="009E3CDF" w:rsidP="000D48C2">
            <w:pPr>
              <w:pStyle w:val="Contenudetableau"/>
            </w:pPr>
          </w:p>
        </w:tc>
        <w:tc>
          <w:tcPr>
            <w:tcW w:w="6521" w:type="dxa"/>
            <w:tcBorders>
              <w:bottom w:val="single" w:sz="4" w:space="0" w:color="auto"/>
            </w:tcBorders>
            <w:shd w:val="clear" w:color="auto" w:fill="auto"/>
          </w:tcPr>
          <w:p w:rsidR="009E3CDF" w:rsidRPr="000D48C2" w:rsidRDefault="009E3CDF" w:rsidP="000D48C2">
            <w:pPr>
              <w:pStyle w:val="Contenudetableau"/>
            </w:pPr>
            <w:r w:rsidRPr="000D48C2">
              <w:lastRenderedPageBreak/>
              <w:t>Expliquer la solubilité des composés ioniques dans l’eau.</w:t>
            </w:r>
          </w:p>
          <w:p w:rsidR="009E3CDF" w:rsidRPr="000D48C2" w:rsidRDefault="009E3CDF" w:rsidP="000D48C2">
            <w:pPr>
              <w:pStyle w:val="Contenudetableau"/>
            </w:pPr>
            <w:r w:rsidRPr="000D48C2">
              <w:t>Interpréter qualitativement la conductivité de l’eau pure, d’une eau en milieu naturel, d’une solution aqueuse ionique, en lien avec sa composition ionique.</w:t>
            </w:r>
          </w:p>
          <w:p w:rsidR="009E3CDF" w:rsidRPr="000D48C2" w:rsidRDefault="009E3CDF" w:rsidP="000D48C2">
            <w:pPr>
              <w:pStyle w:val="Contenudetableau"/>
            </w:pPr>
            <w:r w:rsidRPr="000D48C2">
              <w:t>Distinguer l’usage d’une eau distillée</w:t>
            </w:r>
            <w:r w:rsidR="009C7F69" w:rsidRPr="000D48C2">
              <w:t xml:space="preserve"> </w:t>
            </w:r>
            <w:r w:rsidR="001E5737" w:rsidRPr="000D48C2">
              <w:t>d</w:t>
            </w:r>
            <w:r w:rsidR="009C7F69" w:rsidRPr="000D48C2">
              <w:t>e celui</w:t>
            </w:r>
            <w:r w:rsidR="001E5737" w:rsidRPr="000D48C2">
              <w:t xml:space="preserve"> </w:t>
            </w:r>
            <w:r w:rsidRPr="000D48C2">
              <w:t>d’une eau déminéralisée (</w:t>
            </w:r>
            <w:proofErr w:type="spellStart"/>
            <w:r w:rsidRPr="000D48C2">
              <w:t>désionisée</w:t>
            </w:r>
            <w:proofErr w:type="spellEnd"/>
            <w:r w:rsidRPr="000D48C2">
              <w:t>).</w:t>
            </w:r>
          </w:p>
          <w:p w:rsidR="001C1DC7" w:rsidRPr="000D48C2" w:rsidRDefault="009E3CDF" w:rsidP="000D48C2">
            <w:pPr>
              <w:pStyle w:val="Contenudetableau"/>
            </w:pPr>
            <w:r w:rsidRPr="000D48C2">
              <w:rPr>
                <w:i/>
              </w:rPr>
              <w:t xml:space="preserve">Mettre en œuvre des mesures de conductivité montrant </w:t>
            </w:r>
            <w:r w:rsidRPr="000D48C2">
              <w:rPr>
                <w:i/>
              </w:rPr>
              <w:lastRenderedPageBreak/>
              <w:t xml:space="preserve">l’influence des espèces ioniques en solution et de leur concentration </w:t>
            </w:r>
            <w:r w:rsidR="00940E0F" w:rsidRPr="000D48C2">
              <w:rPr>
                <w:i/>
              </w:rPr>
              <w:t>en quantité de matière</w:t>
            </w:r>
            <w:r w:rsidRPr="000D48C2">
              <w:rPr>
                <w:i/>
              </w:rPr>
              <w:t>.</w:t>
            </w:r>
          </w:p>
          <w:p w:rsidR="009E3CDF" w:rsidRPr="000D48C2" w:rsidRDefault="009E3CDF" w:rsidP="000D48C2">
            <w:pPr>
              <w:pStyle w:val="Contenudetableau"/>
              <w:rPr>
                <w:i/>
              </w:rPr>
            </w:pPr>
            <w:r w:rsidRPr="000D48C2">
              <w:rPr>
                <w:i/>
              </w:rPr>
              <w:t>Mettre en œuvre un dosage conductimétrique d’une espèce ionique (sulfate, nitrate, ion métallique</w:t>
            </w:r>
            <w:r w:rsidR="001C1DC7" w:rsidRPr="000D48C2">
              <w:rPr>
                <w:i/>
              </w:rPr>
              <w:t>, etc.</w:t>
            </w:r>
            <w:r w:rsidRPr="000D48C2">
              <w:rPr>
                <w:i/>
              </w:rPr>
              <w:t xml:space="preserve">) présente dans une eau. Interpréter qualitativement l’allure d’une courbe de dosage conductimétrique. </w:t>
            </w:r>
            <w:r w:rsidRPr="000D48C2">
              <w:t>Repérer et exploiter l’équivalence.</w:t>
            </w:r>
          </w:p>
          <w:p w:rsidR="001C1DC7" w:rsidRPr="000D48C2" w:rsidRDefault="009E3CDF" w:rsidP="000D48C2">
            <w:pPr>
              <w:pStyle w:val="Contenudetableau"/>
            </w:pPr>
            <w:r w:rsidRPr="000D48C2">
              <w:t>Extraire et exploiter des informations concernant les critères physico-chimiques de la potabilité d’une eau.</w:t>
            </w:r>
          </w:p>
          <w:p w:rsidR="009E3CDF" w:rsidRPr="000D48C2" w:rsidRDefault="009E3CDF" w:rsidP="000D48C2">
            <w:pPr>
              <w:pStyle w:val="Contenudetableau"/>
              <w:rPr>
                <w:strike/>
              </w:rPr>
            </w:pPr>
            <w:r w:rsidRPr="000D48C2">
              <w:t>Extraire et exploiter des informations relatives aux effets des activités humaines sur la qualité chimique de l’eau dans les milieux aquatiques et marins, en s’appuyant sur quelques paramètres (salinité, pH, température, gaz dissous, hydrocarbures, matières plastiques, etc.)</w:t>
            </w:r>
            <w:r w:rsidR="00782EEF" w:rsidRPr="000D48C2">
              <w:t>.</w:t>
            </w:r>
            <w:r w:rsidRPr="000D48C2">
              <w:rPr>
                <w:strike/>
              </w:rPr>
              <w:t xml:space="preserve"> </w:t>
            </w:r>
          </w:p>
        </w:tc>
      </w:tr>
      <w:tr w:rsidR="009E3CDF" w:rsidRPr="000D48C2" w:rsidTr="000D48C2">
        <w:trPr>
          <w:trHeight w:val="454"/>
        </w:trPr>
        <w:tc>
          <w:tcPr>
            <w:tcW w:w="9498" w:type="dxa"/>
            <w:gridSpan w:val="2"/>
            <w:shd w:val="clear" w:color="auto" w:fill="auto"/>
          </w:tcPr>
          <w:p w:rsidR="009E3CDF" w:rsidRPr="000D48C2" w:rsidRDefault="009E3CDF" w:rsidP="000D48C2">
            <w:pPr>
              <w:pStyle w:val="Titre4tableau"/>
              <w:rPr>
                <w:strike/>
              </w:rPr>
            </w:pPr>
            <w:r w:rsidRPr="000D48C2">
              <w:lastRenderedPageBreak/>
              <w:t>Comment la qualité de l’air est-elle caractérisée</w:t>
            </w:r>
            <w:r w:rsidR="001C1DC7" w:rsidRPr="000D48C2">
              <w:t> ?</w:t>
            </w:r>
          </w:p>
        </w:tc>
      </w:tr>
      <w:tr w:rsidR="009E3CDF" w:rsidRPr="000D48C2" w:rsidTr="000D48C2">
        <w:trPr>
          <w:trHeight w:val="545"/>
        </w:trPr>
        <w:tc>
          <w:tcPr>
            <w:tcW w:w="2977" w:type="dxa"/>
            <w:shd w:val="clear" w:color="auto" w:fill="auto"/>
          </w:tcPr>
          <w:p w:rsidR="009E3CDF" w:rsidRPr="000D48C2" w:rsidRDefault="009E3CDF" w:rsidP="000D48C2">
            <w:pPr>
              <w:pStyle w:val="Contenudetableau"/>
            </w:pPr>
            <w:r w:rsidRPr="000D48C2">
              <w:t>Fraction molaire et pourcentage molaire</w:t>
            </w:r>
            <w:r w:rsidR="00AD65A6" w:rsidRPr="000D48C2">
              <w:t>.</w:t>
            </w:r>
          </w:p>
          <w:p w:rsidR="000D48C2" w:rsidRDefault="009E3CDF" w:rsidP="000D48C2">
            <w:pPr>
              <w:pStyle w:val="Contenudetableau"/>
            </w:pPr>
            <w:r w:rsidRPr="000D48C2">
              <w:t>C</w:t>
            </w:r>
            <w:r w:rsidR="00AD65A6" w:rsidRPr="000D48C2">
              <w:t>omposition de l’air.</w:t>
            </w:r>
            <w:r w:rsidR="000D48C2">
              <w:br/>
            </w:r>
          </w:p>
          <w:p w:rsidR="000D48C2" w:rsidRPr="000D48C2" w:rsidRDefault="000D48C2" w:rsidP="000D48C2">
            <w:pPr>
              <w:pStyle w:val="Contenudetableau"/>
            </w:pPr>
            <w:r>
              <w:br/>
            </w:r>
          </w:p>
          <w:p w:rsidR="009E3CDF" w:rsidRPr="000D48C2" w:rsidRDefault="009E3CDF" w:rsidP="000D48C2">
            <w:pPr>
              <w:pStyle w:val="Contenudetableau"/>
            </w:pPr>
            <w:r w:rsidRPr="000D48C2">
              <w:t>Déficit en dioxygène</w:t>
            </w:r>
            <w:r w:rsidR="00AD65A6" w:rsidRPr="000D48C2">
              <w:t>.</w:t>
            </w:r>
          </w:p>
          <w:p w:rsidR="009E3CDF" w:rsidRPr="000D48C2" w:rsidRDefault="00AD65A6" w:rsidP="000D48C2">
            <w:pPr>
              <w:pStyle w:val="Contenudetableau"/>
            </w:pPr>
            <w:r w:rsidRPr="000D48C2">
              <w:t xml:space="preserve">Loi </w:t>
            </w:r>
            <w:r w:rsidR="002315F9" w:rsidRPr="000D48C2">
              <w:t xml:space="preserve">du </w:t>
            </w:r>
            <w:r w:rsidRPr="000D48C2">
              <w:t>gaz parfait.</w:t>
            </w:r>
          </w:p>
          <w:p w:rsidR="001C1DC7" w:rsidRPr="000D48C2" w:rsidRDefault="009E3CDF" w:rsidP="000D48C2">
            <w:pPr>
              <w:pStyle w:val="Contenudetableau"/>
            </w:pPr>
            <w:r w:rsidRPr="000D48C2">
              <w:t>Fixation du monoxyde de carbone sur l’hémoglobine</w:t>
            </w:r>
            <w:r w:rsidR="00AD65A6" w:rsidRPr="000D48C2">
              <w:t>.</w:t>
            </w:r>
            <w:r w:rsidR="00F17EA6">
              <w:br/>
            </w:r>
            <w:r w:rsidR="00F17EA6">
              <w:br/>
            </w:r>
          </w:p>
          <w:p w:rsidR="001C1DC7" w:rsidRDefault="009E3CDF" w:rsidP="000D48C2">
            <w:pPr>
              <w:pStyle w:val="Contenudetableau"/>
            </w:pPr>
            <w:r w:rsidRPr="000D48C2">
              <w:t>L’ozone, protecteur et dangereux à la fois</w:t>
            </w:r>
            <w:r w:rsidR="00AD65A6" w:rsidRPr="000D48C2">
              <w:t>.</w:t>
            </w:r>
          </w:p>
          <w:p w:rsidR="00F17EA6" w:rsidRPr="000D48C2" w:rsidRDefault="00F17EA6" w:rsidP="000D48C2">
            <w:pPr>
              <w:pStyle w:val="Contenudetableau"/>
            </w:pPr>
          </w:p>
          <w:p w:rsidR="009E3CDF" w:rsidRPr="000D48C2" w:rsidRDefault="009E3CDF" w:rsidP="000D48C2">
            <w:pPr>
              <w:pStyle w:val="Contenudetableau"/>
            </w:pPr>
            <w:r w:rsidRPr="000D48C2">
              <w:t>Gaz à effet de serre</w:t>
            </w:r>
            <w:r w:rsidR="00E10257">
              <w:t>.</w:t>
            </w:r>
          </w:p>
        </w:tc>
        <w:tc>
          <w:tcPr>
            <w:tcW w:w="6521" w:type="dxa"/>
            <w:shd w:val="clear" w:color="auto" w:fill="auto"/>
          </w:tcPr>
          <w:p w:rsidR="009E3CDF" w:rsidRPr="000D48C2" w:rsidRDefault="009E3CDF" w:rsidP="000D48C2">
            <w:pPr>
              <w:pStyle w:val="Contenudetableau"/>
            </w:pPr>
            <w:r w:rsidRPr="000D48C2">
              <w:t>Exprimer la composition de l’air par les fractions molaires ou les pourcentages molaires et interpréter ces données.</w:t>
            </w:r>
          </w:p>
          <w:p w:rsidR="009E3CDF" w:rsidRPr="000D48C2" w:rsidRDefault="009E3CDF" w:rsidP="000D48C2">
            <w:pPr>
              <w:pStyle w:val="Contenudetableau"/>
              <w:rPr>
                <w:i/>
              </w:rPr>
            </w:pPr>
            <w:r w:rsidRPr="000D48C2">
              <w:rPr>
                <w:i/>
              </w:rPr>
              <w:t>Proposer des tests chimiques mettant en évidence la présence des gaz CO</w:t>
            </w:r>
            <w:r w:rsidRPr="000D48C2">
              <w:rPr>
                <w:i/>
                <w:vertAlign w:val="subscript"/>
              </w:rPr>
              <w:t>2</w:t>
            </w:r>
            <w:r w:rsidRPr="000D48C2">
              <w:rPr>
                <w:i/>
              </w:rPr>
              <w:t>, H</w:t>
            </w:r>
            <w:r w:rsidRPr="000D48C2">
              <w:rPr>
                <w:i/>
                <w:vertAlign w:val="subscript"/>
              </w:rPr>
              <w:t>2</w:t>
            </w:r>
            <w:r w:rsidRPr="000D48C2">
              <w:rPr>
                <w:i/>
              </w:rPr>
              <w:t xml:space="preserve">O, </w:t>
            </w:r>
            <w:proofErr w:type="gramStart"/>
            <w:r w:rsidRPr="000D48C2">
              <w:rPr>
                <w:i/>
              </w:rPr>
              <w:t>O</w:t>
            </w:r>
            <w:r w:rsidRPr="000D48C2">
              <w:rPr>
                <w:i/>
                <w:vertAlign w:val="subscript"/>
              </w:rPr>
              <w:t>2</w:t>
            </w:r>
            <w:r w:rsidR="00C03EE7" w:rsidRPr="000D48C2">
              <w:rPr>
                <w:i/>
                <w:vertAlign w:val="subscript"/>
              </w:rPr>
              <w:t xml:space="preserve"> </w:t>
            </w:r>
            <w:r w:rsidR="00C03EE7" w:rsidRPr="000D48C2">
              <w:rPr>
                <w:i/>
              </w:rPr>
              <w:t>.</w:t>
            </w:r>
            <w:proofErr w:type="gramEnd"/>
          </w:p>
          <w:p w:rsidR="009E3CDF" w:rsidRPr="000D48C2" w:rsidRDefault="009E3CDF" w:rsidP="000D48C2">
            <w:pPr>
              <w:pStyle w:val="Contenudetableau"/>
              <w:rPr>
                <w:i/>
              </w:rPr>
            </w:pPr>
            <w:r w:rsidRPr="000D48C2">
              <w:rPr>
                <w:i/>
              </w:rPr>
              <w:t>Mettre en œuvre un protocole montrant la proportion de dioxygène dans l’air.</w:t>
            </w:r>
          </w:p>
          <w:p w:rsidR="009E3CDF" w:rsidRPr="000D48C2" w:rsidRDefault="009E3CDF" w:rsidP="000D48C2">
            <w:pPr>
              <w:pStyle w:val="Contenudetableau"/>
            </w:pPr>
            <w:r w:rsidRPr="000D48C2">
              <w:t xml:space="preserve">Utiliser la loi </w:t>
            </w:r>
            <w:r w:rsidR="002315F9" w:rsidRPr="000D48C2">
              <w:t xml:space="preserve">du </w:t>
            </w:r>
            <w:r w:rsidRPr="000D48C2">
              <w:t>gaz parfait dans le cas de l’utilisation d’une bouteille de gaz de dioxygène.</w:t>
            </w:r>
          </w:p>
          <w:p w:rsidR="009E3CDF" w:rsidRPr="000D48C2" w:rsidRDefault="009E3CDF" w:rsidP="000D48C2">
            <w:pPr>
              <w:pStyle w:val="Contenudetableau"/>
            </w:pPr>
            <w:r w:rsidRPr="000D48C2">
              <w:t>Analyser des informations relatives aux risques d’inhalation de monoxyde de carbone.</w:t>
            </w:r>
          </w:p>
          <w:p w:rsidR="001C1DC7" w:rsidRPr="000D48C2" w:rsidRDefault="009E3CDF" w:rsidP="000D48C2">
            <w:pPr>
              <w:pStyle w:val="Contenudetableau"/>
            </w:pPr>
            <w:r w:rsidRPr="000D48C2">
              <w:t>Décrire le principe d’action du monoxyde de carbone sur l’hémoglobine.</w:t>
            </w:r>
          </w:p>
          <w:p w:rsidR="001C1DC7" w:rsidRPr="000D48C2" w:rsidRDefault="009E3CDF" w:rsidP="000D48C2">
            <w:pPr>
              <w:pStyle w:val="Contenudetableau"/>
            </w:pPr>
            <w:r w:rsidRPr="000D48C2">
              <w:t>Connaître la formule brute de la molécule d’ozone.</w:t>
            </w:r>
          </w:p>
          <w:p w:rsidR="009E3CDF" w:rsidRPr="000D48C2" w:rsidRDefault="009E3CDF" w:rsidP="000D48C2">
            <w:pPr>
              <w:pStyle w:val="Contenudetableau"/>
              <w:rPr>
                <w:i/>
              </w:rPr>
            </w:pPr>
            <w:r w:rsidRPr="000D48C2">
              <w:t>Distinguer le rôle protecteur</w:t>
            </w:r>
            <w:r w:rsidR="00E036C7" w:rsidRPr="000D48C2">
              <w:t xml:space="preserve"> de l’ozone de son</w:t>
            </w:r>
            <w:r w:rsidRPr="000D48C2">
              <w:t xml:space="preserve"> caractère nocif </w:t>
            </w:r>
            <w:r w:rsidR="00EF7BDB" w:rsidRPr="000D48C2">
              <w:t>en fonction du contexte.</w:t>
            </w:r>
          </w:p>
          <w:p w:rsidR="009E3CDF" w:rsidRPr="000D48C2" w:rsidRDefault="009E3CDF" w:rsidP="000D48C2">
            <w:pPr>
              <w:pStyle w:val="Contenudetableau"/>
            </w:pPr>
            <w:r w:rsidRPr="000D48C2">
              <w:t>Définir un gaz à effet de serre</w:t>
            </w:r>
            <w:r w:rsidR="000D5553" w:rsidRPr="000D48C2">
              <w:t xml:space="preserve"> (GES)</w:t>
            </w:r>
            <w:r w:rsidR="00200B37" w:rsidRPr="000D48C2">
              <w:t xml:space="preserve">. </w:t>
            </w:r>
            <w:r w:rsidR="005C426A" w:rsidRPr="000D48C2">
              <w:t xml:space="preserve">S’informer </w:t>
            </w:r>
            <w:r w:rsidRPr="000D48C2">
              <w:t xml:space="preserve">sur l’origine de quelques GES </w:t>
            </w:r>
            <w:r w:rsidR="005C426A" w:rsidRPr="000D48C2">
              <w:t xml:space="preserve">et sur leurs </w:t>
            </w:r>
            <w:r w:rsidR="00E40960" w:rsidRPr="000D48C2">
              <w:t>incidences</w:t>
            </w:r>
            <w:r w:rsidR="005C426A" w:rsidRPr="000D48C2">
              <w:t xml:space="preserve"> respectives </w:t>
            </w:r>
            <w:r w:rsidRPr="000D48C2">
              <w:t xml:space="preserve">sur le </w:t>
            </w:r>
            <w:r w:rsidR="00E543E2" w:rsidRPr="000D48C2">
              <w:t>climat.</w:t>
            </w:r>
          </w:p>
        </w:tc>
      </w:tr>
      <w:tr w:rsidR="009E3CDF" w:rsidRPr="000D48C2" w:rsidTr="000D48C2">
        <w:trPr>
          <w:trHeight w:val="343"/>
        </w:trPr>
        <w:tc>
          <w:tcPr>
            <w:tcW w:w="9498" w:type="dxa"/>
            <w:gridSpan w:val="2"/>
            <w:shd w:val="clear" w:color="auto" w:fill="auto"/>
          </w:tcPr>
          <w:p w:rsidR="009E3CDF" w:rsidRPr="000D48C2" w:rsidRDefault="009E3CDF" w:rsidP="00F17EA6">
            <w:pPr>
              <w:pStyle w:val="Titre4tableau"/>
            </w:pPr>
            <w:r w:rsidRPr="000D48C2">
              <w:t>Comment les polluants de l’air et de l’eau sont-ils gérés</w:t>
            </w:r>
            <w:r w:rsidR="001C1DC7" w:rsidRPr="000D48C2">
              <w:t> ?</w:t>
            </w:r>
          </w:p>
        </w:tc>
      </w:tr>
      <w:tr w:rsidR="009E3CDF" w:rsidRPr="000D48C2" w:rsidTr="00F17EA6">
        <w:trPr>
          <w:trHeight w:val="20"/>
        </w:trPr>
        <w:tc>
          <w:tcPr>
            <w:tcW w:w="2977" w:type="dxa"/>
            <w:shd w:val="clear" w:color="auto" w:fill="auto"/>
          </w:tcPr>
          <w:p w:rsidR="009E3CDF" w:rsidRPr="000D48C2" w:rsidRDefault="009E3CDF" w:rsidP="00F17EA6">
            <w:pPr>
              <w:pStyle w:val="Contenudetableau"/>
            </w:pPr>
            <w:r w:rsidRPr="000D48C2">
              <w:t xml:space="preserve">Les </w:t>
            </w:r>
            <w:proofErr w:type="spellStart"/>
            <w:r w:rsidRPr="000D48C2">
              <w:t>macropolluants</w:t>
            </w:r>
            <w:proofErr w:type="spellEnd"/>
            <w:r w:rsidRPr="000D48C2">
              <w:t xml:space="preserve"> et micropolluants organiques et inorganiques d’une eau</w:t>
            </w:r>
            <w:r w:rsidR="00AD65A6" w:rsidRPr="000D48C2">
              <w:t>.</w:t>
            </w:r>
          </w:p>
          <w:p w:rsidR="001C1DC7" w:rsidRPr="000D48C2" w:rsidRDefault="009E3CDF" w:rsidP="00F17EA6">
            <w:pPr>
              <w:pStyle w:val="Contenudetableau"/>
            </w:pPr>
            <w:r w:rsidRPr="000D48C2">
              <w:t>Les polluants primaires et secondaires de l’air</w:t>
            </w:r>
            <w:r w:rsidR="00AD65A6" w:rsidRPr="000D48C2">
              <w:t>.</w:t>
            </w:r>
            <w:r w:rsidR="00F17EA6">
              <w:br/>
            </w:r>
            <w:r w:rsidR="00F17EA6">
              <w:br/>
            </w:r>
            <w:r w:rsidR="00F17EA6">
              <w:br/>
            </w:r>
          </w:p>
          <w:p w:rsidR="009E3CDF" w:rsidRPr="000D48C2" w:rsidRDefault="009E3CDF" w:rsidP="00F17EA6">
            <w:pPr>
              <w:pStyle w:val="Contenudetableau"/>
              <w:rPr>
                <w:highlight w:val="green"/>
              </w:rPr>
            </w:pPr>
            <w:r w:rsidRPr="000D48C2">
              <w:t>Dépollution par adsorption sur charbon actif et oxydation par l’ozone</w:t>
            </w:r>
            <w:r w:rsidR="00AD65A6" w:rsidRPr="000D48C2">
              <w:t>.</w:t>
            </w:r>
          </w:p>
        </w:tc>
        <w:tc>
          <w:tcPr>
            <w:tcW w:w="6521" w:type="dxa"/>
            <w:shd w:val="clear" w:color="auto" w:fill="auto"/>
          </w:tcPr>
          <w:p w:rsidR="001C1DC7" w:rsidRPr="000D48C2" w:rsidRDefault="009E3CDF" w:rsidP="00F17EA6">
            <w:pPr>
              <w:pStyle w:val="Contenudetableau"/>
            </w:pPr>
            <w:r w:rsidRPr="000D48C2">
              <w:t xml:space="preserve">Différencier un </w:t>
            </w:r>
            <w:proofErr w:type="spellStart"/>
            <w:r w:rsidRPr="000D48C2">
              <w:t>macropolluant</w:t>
            </w:r>
            <w:proofErr w:type="spellEnd"/>
            <w:r w:rsidRPr="000D48C2">
              <w:t xml:space="preserve"> d’un micropolluant.</w:t>
            </w:r>
          </w:p>
          <w:p w:rsidR="009E3CDF" w:rsidRPr="000D48C2" w:rsidRDefault="009E3CDF" w:rsidP="00F17EA6">
            <w:pPr>
              <w:pStyle w:val="Contenudetableau"/>
            </w:pPr>
            <w:r w:rsidRPr="000D48C2">
              <w:t>Différencier un polluant primaire d’un polluant secondaire.</w:t>
            </w:r>
          </w:p>
          <w:p w:rsidR="009E3CDF" w:rsidRPr="000D48C2" w:rsidRDefault="009E3CDF" w:rsidP="00F17EA6">
            <w:pPr>
              <w:pStyle w:val="Contenudetableau"/>
            </w:pPr>
            <w:r w:rsidRPr="000D48C2">
              <w:t xml:space="preserve">Déterminer, à partir d’une analyse documentaire, les origines domestique, industrielle, agricole ou médicale de quelques polluants parmi les solvants, pesticides, phytosanitaires et cosmétiques, nano-objets dont métaux lourds, </w:t>
            </w:r>
            <w:proofErr w:type="spellStart"/>
            <w:r w:rsidRPr="000D48C2">
              <w:t>microplastiques</w:t>
            </w:r>
            <w:proofErr w:type="spellEnd"/>
            <w:r w:rsidRPr="000D48C2">
              <w:t>, déjections animales, composés gazeux dont gaz à effet de serre (GES), fumées, hormones, médicaments, etc.</w:t>
            </w:r>
          </w:p>
          <w:p w:rsidR="001C1DC7" w:rsidRPr="000D48C2" w:rsidRDefault="009E3CDF" w:rsidP="00F17EA6">
            <w:pPr>
              <w:pStyle w:val="Contenudetableau"/>
              <w:rPr>
                <w:i/>
              </w:rPr>
            </w:pPr>
            <w:r w:rsidRPr="000D48C2">
              <w:rPr>
                <w:i/>
              </w:rPr>
              <w:t>Mettre en œuvre une expérience d’adsorption sur charbon actif.</w:t>
            </w:r>
          </w:p>
          <w:p w:rsidR="009E3CDF" w:rsidRPr="000D48C2" w:rsidRDefault="00AD65A6" w:rsidP="00F17EA6">
            <w:pPr>
              <w:pStyle w:val="Contenudetableau"/>
            </w:pPr>
            <w:r w:rsidRPr="000D48C2">
              <w:t>Analyser l’</w:t>
            </w:r>
            <w:r w:rsidR="009E3CDF" w:rsidRPr="000D48C2">
              <w:t xml:space="preserve">efficacité d'un procédé de dépollution. </w:t>
            </w:r>
          </w:p>
        </w:tc>
      </w:tr>
    </w:tbl>
    <w:p w:rsidR="00203A29" w:rsidRPr="007C780E" w:rsidRDefault="00203A29" w:rsidP="009B77C3">
      <w:pPr>
        <w:spacing w:before="0"/>
      </w:pPr>
    </w:p>
    <w:p w:rsidR="001C1DC7" w:rsidRPr="007C780E" w:rsidRDefault="009E3CDF" w:rsidP="009B77C3">
      <w:pPr>
        <w:pStyle w:val="Titre5"/>
      </w:pPr>
      <w:r w:rsidRPr="007C780E">
        <w:lastRenderedPageBreak/>
        <w:t>Commentaires</w:t>
      </w:r>
    </w:p>
    <w:p w:rsidR="009E3CDF" w:rsidRPr="007C780E" w:rsidRDefault="009E3CDF" w:rsidP="00F17EA6">
      <w:pPr>
        <w:pStyle w:val="Titre4tableau"/>
      </w:pPr>
      <w:r w:rsidRPr="007C780E">
        <w:t>Ouvertures et limites</w:t>
      </w:r>
    </w:p>
    <w:p w:rsidR="009E3CDF" w:rsidRPr="007C780E" w:rsidRDefault="009E3CDF" w:rsidP="00F17EA6">
      <w:r w:rsidRPr="007C780E">
        <w:t xml:space="preserve">Le thème 1 prolonge </w:t>
      </w:r>
      <w:r w:rsidR="00EF26D0" w:rsidRPr="007C780E">
        <w:t>l’étude des</w:t>
      </w:r>
      <w:r w:rsidRPr="007C780E">
        <w:t xml:space="preserve"> applications de la réactivité chimiqu</w:t>
      </w:r>
      <w:r w:rsidR="00AD65A6" w:rsidRPr="007C780E">
        <w:t>e déjà rencontrée en classe de p</w:t>
      </w:r>
      <w:r w:rsidRPr="007C780E">
        <w:t xml:space="preserve">remière. L’oxydo-réduction est au cœur de la compréhension de l’alcootest comme du phénomène de dégradation des aliments. </w:t>
      </w:r>
      <w:r w:rsidR="00605975" w:rsidRPr="007C780E">
        <w:t xml:space="preserve">L’étude </w:t>
      </w:r>
      <w:r w:rsidRPr="007C780E">
        <w:t xml:space="preserve">de la détection d’alcool </w:t>
      </w:r>
      <w:r w:rsidR="00665E5A" w:rsidRPr="007C780E">
        <w:t xml:space="preserve">dans le cadre de la </w:t>
      </w:r>
      <w:r w:rsidRPr="007C780E">
        <w:t>sécurité routière s’ouvre à d’autres cas de détection de substances illicites et dangereuses qui mettent en péril la sécurité des personnes</w:t>
      </w:r>
      <w:r w:rsidR="001C1DC7" w:rsidRPr="007C780E">
        <w:t> ;</w:t>
      </w:r>
      <w:r w:rsidRPr="007C780E">
        <w:t xml:space="preserve"> les exemples sont choisis </w:t>
      </w:r>
      <w:r w:rsidR="00C05A4D" w:rsidRPr="007C780E">
        <w:t>librement</w:t>
      </w:r>
      <w:r w:rsidRPr="007C780E">
        <w:t xml:space="preserve">, sans exhaustivité. À propos de la sécurité dans l’alimentation, la schématisation de l’action chimique du brunissement enzymatique est présentée en précisant le nom des espèces chimiques mises en jeu </w:t>
      </w:r>
      <w:r w:rsidR="00EF26D0" w:rsidRPr="007C780E">
        <w:t xml:space="preserve">sans que soit pour autant attendue la connaissance </w:t>
      </w:r>
      <w:r w:rsidRPr="007C780E">
        <w:t>de leurs formules chimiques.</w:t>
      </w:r>
    </w:p>
    <w:p w:rsidR="001C1DC7" w:rsidRPr="007C780E" w:rsidRDefault="00665E5A" w:rsidP="00F17EA6">
      <w:r w:rsidRPr="007C780E">
        <w:t>L</w:t>
      </w:r>
      <w:r w:rsidR="009E3CDF" w:rsidRPr="007C780E">
        <w:t>e contrôle de la qualité de l’air et de l’eau</w:t>
      </w:r>
      <w:r w:rsidRPr="007C780E">
        <w:t xml:space="preserve"> </w:t>
      </w:r>
      <w:r w:rsidR="00E543E2" w:rsidRPr="007C780E">
        <w:t>effectué</w:t>
      </w:r>
      <w:r w:rsidRPr="007C780E">
        <w:t xml:space="preserve"> pour vérifier la sécurité dans l’environnement</w:t>
      </w:r>
      <w:r w:rsidR="009E3CDF" w:rsidRPr="007C780E">
        <w:t xml:space="preserve"> </w:t>
      </w:r>
      <w:r w:rsidRPr="007C780E">
        <w:t xml:space="preserve">se décline selon </w:t>
      </w:r>
      <w:r w:rsidR="009E3CDF" w:rsidRPr="007C780E">
        <w:t>des contextes variés</w:t>
      </w:r>
      <w:r w:rsidR="001C1DC7" w:rsidRPr="007C780E">
        <w:t> :</w:t>
      </w:r>
      <w:r w:rsidRPr="007C780E">
        <w:t xml:space="preserve"> peuvent notamment </w:t>
      </w:r>
      <w:r w:rsidR="000108B5" w:rsidRPr="007C780E">
        <w:t xml:space="preserve">être </w:t>
      </w:r>
      <w:r w:rsidRPr="007C780E">
        <w:t>abordées</w:t>
      </w:r>
      <w:r w:rsidR="000108B5" w:rsidRPr="007C780E">
        <w:t>,</w:t>
      </w:r>
      <w:r w:rsidR="009E3CDF" w:rsidRPr="007C780E">
        <w:t xml:space="preserve"> </w:t>
      </w:r>
      <w:r w:rsidR="000108B5" w:rsidRPr="007C780E">
        <w:t xml:space="preserve">sans exhaustivité, </w:t>
      </w:r>
      <w:r w:rsidR="009E3CDF" w:rsidRPr="007C780E">
        <w:t xml:space="preserve">la combustion d’un appareil de chauffage défectueux, la présence de monoxyde de carbone dans la fumée de cigarette, les conséquences du trou de la couche d’ozone ou de son accumulation dans la troposphère. Aucun développement autour de la combustion incomplète n’est exigé. La loi des gaz parfaits est utilisée sans excès théorique ni calculatoire. L’électronégativité est présentée sans formalisme, </w:t>
      </w:r>
      <w:r w:rsidR="00A41DAA" w:rsidRPr="007C780E">
        <w:t>pour expliquer</w:t>
      </w:r>
      <w:r w:rsidR="009E3CDF" w:rsidRPr="007C780E">
        <w:t xml:space="preserve"> l’origine de la polarité de l’eau dont découlent les propriétés de solvant polaire.</w:t>
      </w:r>
    </w:p>
    <w:p w:rsidR="00772907" w:rsidRPr="007C780E" w:rsidRDefault="009E3CDF" w:rsidP="00F17EA6">
      <w:r w:rsidRPr="007C780E">
        <w:t>L</w:t>
      </w:r>
      <w:r w:rsidR="0018099C" w:rsidRPr="007C780E">
        <w:t xml:space="preserve">’étude de la </w:t>
      </w:r>
      <w:r w:rsidRPr="007C780E">
        <w:t xml:space="preserve">composition ionique d’une eau </w:t>
      </w:r>
      <w:r w:rsidR="0018099C" w:rsidRPr="007C780E">
        <w:t xml:space="preserve">vise </w:t>
      </w:r>
      <w:r w:rsidRPr="007C780E">
        <w:t xml:space="preserve">à éclairer l’origine de la solubilité des composés ioniques dans l’eau et à présenter la notion de conductivité </w:t>
      </w:r>
      <w:r w:rsidR="00772907" w:rsidRPr="007C780E">
        <w:t>dont on déduit les précautions qu’il faut prendre pour éviter une électrocution et, plus largement, les analyses à mener pour prévenir et sécuriser.</w:t>
      </w:r>
    </w:p>
    <w:p w:rsidR="009E3CDF" w:rsidRPr="007C780E" w:rsidRDefault="009E3CDF" w:rsidP="00F17EA6">
      <w:r w:rsidRPr="007C780E">
        <w:t xml:space="preserve">La relation de Kohlrausch </w:t>
      </w:r>
      <m:oMath>
        <m:r>
          <w:rPr>
            <w:rFonts w:ascii="Cambria Math" w:hAnsi="Cambria Math"/>
          </w:rPr>
          <m:t>σ=</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e>
            </m:d>
          </m:e>
        </m:nary>
      </m:oMath>
      <w:r w:rsidRPr="007C780E">
        <w:t xml:space="preserve"> n’est pas au programme. On commente seulement qualitativement la relation simplifiée </w:t>
      </w:r>
      <m:oMath>
        <m:r>
          <w:rPr>
            <w:rFonts w:ascii="Cambria Math" w:hAnsi="Cambria Math"/>
          </w:rPr>
          <m:t>σ=</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e>
        </m:nary>
      </m:oMath>
      <w:r w:rsidRPr="007C780E">
        <w:t xml:space="preserve"> où </w:t>
      </w:r>
      <w:r w:rsidRPr="007C780E">
        <w:rPr>
          <w:i/>
        </w:rPr>
        <w:t>a</w:t>
      </w:r>
      <w:r w:rsidRPr="007C780E">
        <w:rPr>
          <w:vertAlign w:val="subscript"/>
        </w:rPr>
        <w:t>i</w:t>
      </w:r>
      <w:r w:rsidRPr="007C780E">
        <w:t xml:space="preserve"> est une constante qui dépend de la nature de l’ion. Tout développement calculatoire est hors-programme.</w:t>
      </w:r>
    </w:p>
    <w:p w:rsidR="001C1DC7" w:rsidRPr="007C780E" w:rsidRDefault="009E3CDF" w:rsidP="00F17EA6">
      <w:r w:rsidRPr="007C780E">
        <w:t xml:space="preserve">La présentation des types de polluants ne </w:t>
      </w:r>
      <w:r w:rsidR="0018099C" w:rsidRPr="007C780E">
        <w:t xml:space="preserve">donne pas </w:t>
      </w:r>
      <w:r w:rsidRPr="007C780E">
        <w:t>lieu</w:t>
      </w:r>
      <w:r w:rsidR="00361B05" w:rsidRPr="007C780E">
        <w:t xml:space="preserve"> à une liste exhaustive mais</w:t>
      </w:r>
      <w:r w:rsidRPr="007C780E">
        <w:t xml:space="preserve"> </w:t>
      </w:r>
      <w:r w:rsidR="000108B5" w:rsidRPr="007C780E">
        <w:t>vise à susciter</w:t>
      </w:r>
      <w:r w:rsidRPr="007C780E">
        <w:t xml:space="preserve"> </w:t>
      </w:r>
      <w:r w:rsidR="0018099C" w:rsidRPr="007C780E">
        <w:t xml:space="preserve">la </w:t>
      </w:r>
      <w:r w:rsidRPr="007C780E">
        <w:t>réflexion</w:t>
      </w:r>
      <w:r w:rsidR="0018099C" w:rsidRPr="007C780E">
        <w:t xml:space="preserve"> des élèves</w:t>
      </w:r>
      <w:r w:rsidRPr="007C780E">
        <w:t xml:space="preserve"> sur l’origine et la gestion des polluants</w:t>
      </w:r>
      <w:r w:rsidR="00C13728" w:rsidRPr="007C780E">
        <w:t>,</w:t>
      </w:r>
      <w:r w:rsidRPr="007C780E">
        <w:t xml:space="preserve"> et à </w:t>
      </w:r>
      <w:r w:rsidR="0018099C" w:rsidRPr="007C780E">
        <w:t xml:space="preserve">les sensibiliser aux </w:t>
      </w:r>
      <w:r w:rsidRPr="007C780E">
        <w:t>défis à relever</w:t>
      </w:r>
      <w:r w:rsidR="001C1DC7" w:rsidRPr="007C780E">
        <w:t> :</w:t>
      </w:r>
      <w:r w:rsidRPr="007C780E">
        <w:t xml:space="preserve"> défis </w:t>
      </w:r>
      <w:r w:rsidR="000C20B0" w:rsidRPr="007C780E">
        <w:t xml:space="preserve">de société </w:t>
      </w:r>
      <w:r w:rsidRPr="007C780E">
        <w:t xml:space="preserve">liés aux modes de production et de consommation humains, défis scientifiques et techniques liés à la recherche de solutions plus performantes et plus sûres. Cette initiation </w:t>
      </w:r>
      <w:r w:rsidR="00C13728" w:rsidRPr="007C780E">
        <w:t xml:space="preserve">suppose également qu’une attitude responsable soit adoptée </w:t>
      </w:r>
      <w:r w:rsidRPr="007C780E">
        <w:t>en salle d’activité expérimentale</w:t>
      </w:r>
      <w:r w:rsidR="001C1DC7" w:rsidRPr="007C780E">
        <w:t> :</w:t>
      </w:r>
      <w:r w:rsidR="0018099C" w:rsidRPr="007C780E">
        <w:t xml:space="preserve"> elle se manifeste </w:t>
      </w:r>
      <w:r w:rsidR="00361B05" w:rsidRPr="007C780E">
        <w:t xml:space="preserve">par </w:t>
      </w:r>
      <w:r w:rsidR="0018099C" w:rsidRPr="007C780E">
        <w:t xml:space="preserve">le </w:t>
      </w:r>
      <w:r w:rsidRPr="007C780E">
        <w:t xml:space="preserve">tri des déchets et </w:t>
      </w:r>
      <w:r w:rsidR="0018099C" w:rsidRPr="007C780E">
        <w:t xml:space="preserve">par </w:t>
      </w:r>
      <w:r w:rsidRPr="007C780E">
        <w:t>le respect de précautions adéquates réglementaires ou de bon sens. La liberté pédagogique est laissée au professeur dans le choix d</w:t>
      </w:r>
      <w:r w:rsidR="00303E25" w:rsidRPr="007C780E">
        <w:t xml:space="preserve">es </w:t>
      </w:r>
      <w:r w:rsidRPr="007C780E">
        <w:t>exemples de techniques de piégeage de polluants</w:t>
      </w:r>
      <w:r w:rsidR="001C1DC7" w:rsidRPr="007C780E">
        <w:t> ;</w:t>
      </w:r>
      <w:r w:rsidR="00620D89" w:rsidRPr="007C780E">
        <w:t xml:space="preserve"> leur</w:t>
      </w:r>
      <w:r w:rsidRPr="007C780E">
        <w:t xml:space="preserve"> description sommaire </w:t>
      </w:r>
      <w:r w:rsidR="00620D89" w:rsidRPr="007C780E">
        <w:t xml:space="preserve">met </w:t>
      </w:r>
      <w:r w:rsidRPr="007C780E">
        <w:t xml:space="preserve">en exergue le principe physico-chimique </w:t>
      </w:r>
      <w:r w:rsidR="00620D89" w:rsidRPr="007C780E">
        <w:t xml:space="preserve">et contribue à la </w:t>
      </w:r>
      <w:r w:rsidRPr="007C780E">
        <w:t>culture générale</w:t>
      </w:r>
      <w:r w:rsidR="00620D89" w:rsidRPr="007C780E">
        <w:t xml:space="preserve"> des élèves</w:t>
      </w:r>
      <w:r w:rsidRPr="007C780E">
        <w:t>.</w:t>
      </w:r>
    </w:p>
    <w:p w:rsidR="001C1DC7" w:rsidRPr="007C780E" w:rsidRDefault="009E3CDF" w:rsidP="00F17EA6">
      <w:pPr>
        <w:pStyle w:val="Titre4tableau"/>
      </w:pPr>
      <w:r w:rsidRPr="007C780E">
        <w:t>Perspectives</w:t>
      </w:r>
    </w:p>
    <w:p w:rsidR="001C1DC7" w:rsidRPr="007C780E" w:rsidRDefault="009E3CDF" w:rsidP="00F17EA6">
      <w:r w:rsidRPr="007C780E">
        <w:t xml:space="preserve">La prévention pour </w:t>
      </w:r>
      <w:r w:rsidR="007603E2" w:rsidRPr="007C780E">
        <w:t>garantir la sécurité</w:t>
      </w:r>
      <w:r w:rsidRPr="007C780E">
        <w:t xml:space="preserve"> s’inscrit dans une démarche adossée aux progrès de la recherche scientifique</w:t>
      </w:r>
      <w:r w:rsidR="007603E2" w:rsidRPr="007C780E">
        <w:t>,</w:t>
      </w:r>
      <w:r w:rsidRPr="007C780E">
        <w:t xml:space="preserve"> à laquelle il convient de sensibiliser les élèves. L’une de ses ambitions est d’augmenter la performance des méthodes analytiques pour un meilleur contrôle qualité. Une autre ambition est d’améliorer les procédés en prenant en compte le concept de cycle de vie</w:t>
      </w:r>
      <w:r w:rsidR="000C20B0" w:rsidRPr="007C780E">
        <w:t xml:space="preserve"> – </w:t>
      </w:r>
      <w:r w:rsidR="0090308D" w:rsidRPr="007C780E">
        <w:t>qui</w:t>
      </w:r>
      <w:r w:rsidRPr="007C780E">
        <w:t xml:space="preserve"> </w:t>
      </w:r>
      <w:r w:rsidR="0090308D" w:rsidRPr="007C780E">
        <w:t>permet</w:t>
      </w:r>
      <w:r w:rsidRPr="007C780E">
        <w:t xml:space="preserve"> de diminuer les déchets</w:t>
      </w:r>
      <w:r w:rsidR="0090308D" w:rsidRPr="007C780E">
        <w:t xml:space="preserve"> </w:t>
      </w:r>
      <w:r w:rsidR="000C20B0" w:rsidRPr="007C780E">
        <w:t>–</w:t>
      </w:r>
      <w:r w:rsidR="0090308D" w:rsidRPr="007C780E">
        <w:t xml:space="preserve"> </w:t>
      </w:r>
      <w:r w:rsidRPr="007C780E">
        <w:t>et</w:t>
      </w:r>
      <w:r w:rsidR="000C20B0" w:rsidRPr="007C780E">
        <w:t xml:space="preserve"> </w:t>
      </w:r>
      <w:r w:rsidRPr="007C780E">
        <w:t>les pollutions</w:t>
      </w:r>
      <w:r w:rsidR="0090308D" w:rsidRPr="007C780E">
        <w:t>,</w:t>
      </w:r>
      <w:r w:rsidRPr="007C780E">
        <w:t xml:space="preserve"> tout en économisant la matière et l’énergie. Le défi de diminuer la production de gaz à effet de serre s’inscrit dans la problématique complexe de la lutte contre le réchauffement climatique.</w:t>
      </w:r>
      <w:r w:rsidR="00EF7BDB" w:rsidRPr="007C780E">
        <w:t xml:space="preserve"> </w:t>
      </w:r>
      <w:r w:rsidRPr="007C780E">
        <w:t>Enfin</w:t>
      </w:r>
      <w:r w:rsidR="00AD65A6" w:rsidRPr="007C780E">
        <w:t>,</w:t>
      </w:r>
      <w:r w:rsidRPr="007C780E">
        <w:t xml:space="preserve"> la recherche scientifique ouvre la voie de la chimie d’intervention </w:t>
      </w:r>
      <w:r w:rsidR="00BD550F" w:rsidRPr="007C780E">
        <w:t>qui, par la synthèse d’aliments, entend relever le défi de nourrir l’humanité en répondant aux besoins quantitatifs et qualitatifs.</w:t>
      </w:r>
    </w:p>
    <w:p w:rsidR="001C1DC7" w:rsidRPr="007C780E" w:rsidRDefault="009E3CDF" w:rsidP="00F17EA6">
      <w:pPr>
        <w:pStyle w:val="Titre4"/>
        <w:pageBreakBefore/>
      </w:pPr>
      <w:bookmarkStart w:id="27" w:name="_Toc8396275"/>
      <w:bookmarkStart w:id="28" w:name="_Toc8815400"/>
      <w:r w:rsidRPr="007C780E">
        <w:lastRenderedPageBreak/>
        <w:t>T</w:t>
      </w:r>
      <w:r w:rsidR="00AD65A6" w:rsidRPr="007C780E">
        <w:t>hème 2</w:t>
      </w:r>
      <w:r w:rsidR="001C1DC7" w:rsidRPr="007C780E">
        <w:t> :</w:t>
      </w:r>
      <w:r w:rsidR="00AD65A6" w:rsidRPr="007C780E">
        <w:t xml:space="preserve"> Analyser et diagnostiquer</w:t>
      </w:r>
      <w:bookmarkEnd w:id="27"/>
      <w:bookmarkEnd w:id="28"/>
    </w:p>
    <w:p w:rsidR="001C1DC7" w:rsidRPr="007C780E" w:rsidRDefault="009E3CDF" w:rsidP="00F17EA6">
      <w:r w:rsidRPr="007C780E">
        <w:t xml:space="preserve">Le thème 2 invite à réfléchir au défi à relever </w:t>
      </w:r>
      <w:r w:rsidR="007603E2" w:rsidRPr="007C780E">
        <w:t>dans l’</w:t>
      </w:r>
      <w:r w:rsidRPr="007C780E">
        <w:t xml:space="preserve">analyse des </w:t>
      </w:r>
      <w:r w:rsidR="00D02AA3" w:rsidRPr="007C780E">
        <w:t>milieux biologiques et naturels.</w:t>
      </w:r>
      <w:r w:rsidR="00491064" w:rsidRPr="007C780E">
        <w:t xml:space="preserve"> L’objectif est</w:t>
      </w:r>
      <w:r w:rsidRPr="007C780E">
        <w:t xml:space="preserve"> d’augmenter la fiabilité d’un diagnostic, dans le cadr</w:t>
      </w:r>
      <w:r w:rsidR="00EF7BDB" w:rsidRPr="007C780E">
        <w:t xml:space="preserve">e de la prévention ou du soin. </w:t>
      </w:r>
      <w:r w:rsidRPr="007C780E">
        <w:t xml:space="preserve">La connaissance scientifique de la structure et de la composition de la matière est adossée </w:t>
      </w:r>
      <w:r w:rsidR="00BD550F" w:rsidRPr="007C780E">
        <w:t>à l’utilisation</w:t>
      </w:r>
      <w:r w:rsidRPr="007C780E">
        <w:t xml:space="preserve"> de méthodes et de technologies, au cœur de l’analyse. Le diagnostic s’appuie sur la </w:t>
      </w:r>
      <w:r w:rsidR="009C1C21" w:rsidRPr="007C780E">
        <w:t xml:space="preserve">conformité </w:t>
      </w:r>
      <w:r w:rsidRPr="007C780E">
        <w:t>à des normes ou à des critères.</w:t>
      </w:r>
    </w:p>
    <w:p w:rsidR="007B0CC5" w:rsidRPr="007C780E" w:rsidRDefault="009E3CDF" w:rsidP="00F17EA6">
      <w:pPr>
        <w:pStyle w:val="Titre5"/>
        <w:spacing w:after="120"/>
        <w:rPr>
          <w:rFonts w:eastAsia="Calibri"/>
          <w:bCs/>
          <w:lang w:eastAsia="fr-FR"/>
        </w:rPr>
      </w:pPr>
      <w:bookmarkStart w:id="29" w:name="_Toc8396276"/>
      <w:bookmarkStart w:id="30" w:name="_Toc8815401"/>
      <w:bookmarkStart w:id="31" w:name="_Toc8816192"/>
      <w:r w:rsidRPr="007C780E">
        <w:rPr>
          <w:rFonts w:eastAsia="Calibri"/>
          <w:lang w:eastAsia="fr-FR"/>
        </w:rPr>
        <w:t>L’observation de la structure de la matière par imagerie médicale</w:t>
      </w:r>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29"/>
        <w:gridCol w:w="5699"/>
      </w:tblGrid>
      <w:tr w:rsidR="009E3CDF" w:rsidRPr="00F17EA6" w:rsidTr="00F17EA6">
        <w:trPr>
          <w:trHeight w:val="20"/>
        </w:trPr>
        <w:tc>
          <w:tcPr>
            <w:tcW w:w="3567" w:type="dxa"/>
            <w:shd w:val="clear" w:color="auto" w:fill="auto"/>
            <w:vAlign w:val="center"/>
          </w:tcPr>
          <w:p w:rsidR="009E3CDF" w:rsidRPr="00F17EA6" w:rsidRDefault="009E3CDF" w:rsidP="00F17EA6">
            <w:pPr>
              <w:pStyle w:val="Titre5tableau"/>
            </w:pPr>
            <w:r w:rsidRPr="00F17EA6">
              <w:t>Notions et contenus</w:t>
            </w:r>
          </w:p>
        </w:tc>
        <w:tc>
          <w:tcPr>
            <w:tcW w:w="5931" w:type="dxa"/>
            <w:shd w:val="clear" w:color="auto" w:fill="auto"/>
            <w:vAlign w:val="center"/>
          </w:tcPr>
          <w:p w:rsidR="009E3CDF" w:rsidRPr="00F17EA6" w:rsidRDefault="009E3CDF" w:rsidP="00F17EA6">
            <w:pPr>
              <w:pStyle w:val="Titre5tableau"/>
            </w:pPr>
            <w:r w:rsidRPr="00F17EA6">
              <w:t>Connaissances et capacités exigibles</w:t>
            </w:r>
          </w:p>
          <w:p w:rsidR="009E3CDF" w:rsidRPr="00F17EA6" w:rsidRDefault="009E3CDF" w:rsidP="00F17EA6">
            <w:pPr>
              <w:pStyle w:val="Titre5tableau"/>
            </w:pPr>
            <w:r w:rsidRPr="00F17EA6">
              <w:rPr>
                <w:rFonts w:eastAsia="Times"/>
                <w:i/>
              </w:rPr>
              <w:t>Activités expérimentales support de la formation</w:t>
            </w:r>
          </w:p>
        </w:tc>
      </w:tr>
      <w:tr w:rsidR="009E3CDF" w:rsidRPr="00F17EA6" w:rsidTr="00F17EA6">
        <w:trPr>
          <w:trHeight w:val="20"/>
        </w:trPr>
        <w:tc>
          <w:tcPr>
            <w:tcW w:w="9498" w:type="dxa"/>
            <w:gridSpan w:val="2"/>
            <w:shd w:val="clear" w:color="auto" w:fill="auto"/>
          </w:tcPr>
          <w:p w:rsidR="009E3CDF" w:rsidRPr="00F17EA6" w:rsidRDefault="009E3CDF" w:rsidP="00F17EA6">
            <w:pPr>
              <w:pStyle w:val="Titre4tableau"/>
            </w:pPr>
            <w:r w:rsidRPr="00F17EA6">
              <w:t>Comment un écoulement sanguin est-il analysé</w:t>
            </w:r>
            <w:r w:rsidR="001C1DC7" w:rsidRPr="00F17EA6">
              <w:t> ?</w:t>
            </w:r>
          </w:p>
        </w:tc>
      </w:tr>
      <w:tr w:rsidR="009E3CDF" w:rsidRPr="00F17EA6" w:rsidTr="00F17EA6">
        <w:trPr>
          <w:trHeight w:val="20"/>
        </w:trPr>
        <w:tc>
          <w:tcPr>
            <w:tcW w:w="3567" w:type="dxa"/>
            <w:shd w:val="clear" w:color="auto" w:fill="auto"/>
          </w:tcPr>
          <w:p w:rsidR="009E3CDF" w:rsidRPr="00F17EA6" w:rsidRDefault="009E3CDF" w:rsidP="00F17EA6">
            <w:pPr>
              <w:pStyle w:val="Contenudetableau"/>
            </w:pPr>
            <w:r w:rsidRPr="00F17EA6">
              <w:t>L’effet Doppler</w:t>
            </w:r>
            <w:r w:rsidR="00AD65A6" w:rsidRPr="00F17EA6">
              <w:t>.</w:t>
            </w:r>
          </w:p>
          <w:p w:rsidR="009E3CDF" w:rsidRPr="00F17EA6" w:rsidRDefault="009E3CDF" w:rsidP="00F17EA6">
            <w:pPr>
              <w:pStyle w:val="Contenudetableau"/>
            </w:pPr>
            <w:r w:rsidRPr="00F17EA6">
              <w:t>L’échographie Doppler</w:t>
            </w:r>
            <w:r w:rsidR="00AD65A6" w:rsidRPr="00F17EA6">
              <w:t>.</w:t>
            </w:r>
          </w:p>
        </w:tc>
        <w:tc>
          <w:tcPr>
            <w:tcW w:w="5931" w:type="dxa"/>
            <w:shd w:val="clear" w:color="auto" w:fill="auto"/>
          </w:tcPr>
          <w:p w:rsidR="009E3CDF" w:rsidRPr="00F17EA6" w:rsidRDefault="009E3CDF" w:rsidP="00F17EA6">
            <w:pPr>
              <w:pStyle w:val="Contenudetableau"/>
            </w:pPr>
            <w:r w:rsidRPr="00F17EA6">
              <w:t>Calculer le temps de parcours séparant l’émission et la réception d’un ultrason.</w:t>
            </w:r>
          </w:p>
          <w:p w:rsidR="001C1DC7" w:rsidRPr="00F17EA6" w:rsidRDefault="009E3CDF" w:rsidP="00F17EA6">
            <w:pPr>
              <w:pStyle w:val="Contenudetableau"/>
              <w:rPr>
                <w:i/>
              </w:rPr>
            </w:pPr>
            <w:r w:rsidRPr="00F17EA6">
              <w:rPr>
                <w:i/>
              </w:rPr>
              <w:t>Mettre en œuvre un protocole illustrant le principe de l’échographie.</w:t>
            </w:r>
          </w:p>
          <w:p w:rsidR="001C1DC7" w:rsidRPr="00F17EA6" w:rsidRDefault="009E3CDF" w:rsidP="00F17EA6">
            <w:pPr>
              <w:pStyle w:val="Contenudetableau"/>
            </w:pPr>
            <w:r w:rsidRPr="00F17EA6">
              <w:t>Connaître le principe d’une échographie Doppler.</w:t>
            </w:r>
          </w:p>
          <w:p w:rsidR="009E3CDF" w:rsidRPr="00F17EA6" w:rsidRDefault="009E3CDF" w:rsidP="00F17EA6">
            <w:pPr>
              <w:pStyle w:val="Contenudetableau"/>
            </w:pPr>
            <w:r w:rsidRPr="00F17EA6">
              <w:t xml:space="preserve">Identifier une anomalie cardiaque à partir d’une analyse sommaire d’une échographie Doppler. </w:t>
            </w:r>
          </w:p>
        </w:tc>
      </w:tr>
      <w:tr w:rsidR="009E3CDF" w:rsidRPr="00F17EA6" w:rsidTr="00F17EA6">
        <w:trPr>
          <w:trHeight w:val="20"/>
        </w:trPr>
        <w:tc>
          <w:tcPr>
            <w:tcW w:w="9498" w:type="dxa"/>
            <w:gridSpan w:val="2"/>
            <w:shd w:val="clear" w:color="auto" w:fill="auto"/>
          </w:tcPr>
          <w:p w:rsidR="009E3CDF" w:rsidRPr="00F17EA6" w:rsidRDefault="009E3CDF" w:rsidP="00F17EA6">
            <w:pPr>
              <w:pStyle w:val="Titre4tableau"/>
            </w:pPr>
            <w:r w:rsidRPr="00F17EA6">
              <w:t>Comment l’interaction entre la matière et les rayons X contribue-t-elle au diagnostic médical</w:t>
            </w:r>
            <w:r w:rsidR="001C1DC7" w:rsidRPr="00F17EA6">
              <w:t> ?</w:t>
            </w:r>
          </w:p>
        </w:tc>
      </w:tr>
      <w:tr w:rsidR="009E3CDF" w:rsidRPr="00F17EA6" w:rsidTr="00F17EA6">
        <w:trPr>
          <w:trHeight w:val="20"/>
        </w:trPr>
        <w:tc>
          <w:tcPr>
            <w:tcW w:w="3567" w:type="dxa"/>
            <w:shd w:val="clear" w:color="auto" w:fill="auto"/>
          </w:tcPr>
          <w:p w:rsidR="009E3CDF" w:rsidRPr="00F17EA6" w:rsidRDefault="009E3CDF" w:rsidP="00F17EA6">
            <w:pPr>
              <w:pStyle w:val="Contenudetableau"/>
            </w:pPr>
            <w:r w:rsidRPr="00F17EA6">
              <w:t>Caractérisation d’une onde électromagnétique</w:t>
            </w:r>
            <w:r w:rsidR="001C1DC7" w:rsidRPr="00F17EA6">
              <w:t> :</w:t>
            </w:r>
            <w:r w:rsidRPr="00F17EA6">
              <w:t xml:space="preserve"> milieu de propagation, vitesse de propagation, fréquence et longueur d’onde</w:t>
            </w:r>
            <w:r w:rsidR="00AD65A6" w:rsidRPr="00F17EA6">
              <w:t>.</w:t>
            </w:r>
          </w:p>
          <w:p w:rsidR="009E3CDF" w:rsidRPr="00F17EA6" w:rsidRDefault="009E3CDF" w:rsidP="00F17EA6">
            <w:pPr>
              <w:pStyle w:val="Contenudetableau"/>
            </w:pPr>
            <w:r w:rsidRPr="00F17EA6">
              <w:t>Domaines des ondes électromagnétiques</w:t>
            </w:r>
            <w:r w:rsidR="00AD65A6" w:rsidRPr="00F17EA6">
              <w:t>.</w:t>
            </w:r>
          </w:p>
          <w:p w:rsidR="009E3CDF" w:rsidRPr="00F17EA6" w:rsidRDefault="009E3CDF" w:rsidP="00E10257">
            <w:pPr>
              <w:pStyle w:val="Contenudetableau"/>
            </w:pPr>
            <w:r w:rsidRPr="00F17EA6">
              <w:t>Radiographie</w:t>
            </w:r>
            <w:r w:rsidR="00E10257">
              <w:t> :</w:t>
            </w:r>
            <w:r w:rsidRPr="00F17EA6">
              <w:t xml:space="preserve"> influence du numéro atomiqu</w:t>
            </w:r>
            <w:r w:rsidR="00AD65A6" w:rsidRPr="00F17EA6">
              <w:t>e sur l’absorption des rayons X.</w:t>
            </w:r>
          </w:p>
        </w:tc>
        <w:tc>
          <w:tcPr>
            <w:tcW w:w="5931" w:type="dxa"/>
            <w:shd w:val="clear" w:color="auto" w:fill="auto"/>
          </w:tcPr>
          <w:p w:rsidR="009E3CDF" w:rsidRPr="00F17EA6" w:rsidRDefault="009E3CDF" w:rsidP="00F17EA6">
            <w:pPr>
              <w:pStyle w:val="Contenudetableau"/>
            </w:pPr>
            <w:r w:rsidRPr="00F17EA6">
              <w:t>Distinguer les caractéristiques des ondes électromagnétiques de celle d’un ultrason.</w:t>
            </w:r>
          </w:p>
          <w:p w:rsidR="001C1DC7" w:rsidRPr="00F17EA6" w:rsidRDefault="009E3CDF" w:rsidP="00F17EA6">
            <w:pPr>
              <w:pStyle w:val="Contenudetableau"/>
            </w:pPr>
            <w:r w:rsidRPr="00F17EA6">
              <w:t>Positionner, sur une échelle de longueur d’onde ou de fréquence, le domaine des rayons X.</w:t>
            </w:r>
          </w:p>
          <w:p w:rsidR="009E3CDF" w:rsidRPr="00F17EA6" w:rsidRDefault="009E3CDF" w:rsidP="00F17EA6">
            <w:pPr>
              <w:pStyle w:val="Contenudetableau"/>
            </w:pPr>
            <w:r w:rsidRPr="00F17EA6">
              <w:t>Connaître et utiliser la relation entre fréquence et longueur d’onde.</w:t>
            </w:r>
          </w:p>
          <w:p w:rsidR="001C1DC7" w:rsidRPr="00F17EA6" w:rsidRDefault="009E3CDF" w:rsidP="00F17EA6">
            <w:pPr>
              <w:pStyle w:val="Contenudetableau"/>
            </w:pPr>
            <w:r w:rsidRPr="00F17EA6">
              <w:t>Connaître le principe de la radiographie et interpréter un cliché radiographique.</w:t>
            </w:r>
          </w:p>
          <w:p w:rsidR="009E3CDF" w:rsidRPr="00F17EA6" w:rsidRDefault="009E3CDF" w:rsidP="00F17EA6">
            <w:pPr>
              <w:pStyle w:val="Contenudetableau"/>
            </w:pPr>
            <w:r w:rsidRPr="00F17EA6">
              <w:t>Exploiter des documents pour comparer les spécificités d’une radiographie et d’une radiothérapie.</w:t>
            </w:r>
          </w:p>
        </w:tc>
      </w:tr>
      <w:tr w:rsidR="009E3CDF" w:rsidRPr="00F17EA6" w:rsidTr="00F17EA6">
        <w:trPr>
          <w:trHeight w:val="20"/>
        </w:trPr>
        <w:tc>
          <w:tcPr>
            <w:tcW w:w="9498" w:type="dxa"/>
            <w:gridSpan w:val="2"/>
            <w:shd w:val="clear" w:color="auto" w:fill="auto"/>
          </w:tcPr>
          <w:p w:rsidR="009E3CDF" w:rsidRPr="00F17EA6" w:rsidRDefault="009E3CDF" w:rsidP="00F17EA6">
            <w:pPr>
              <w:pStyle w:val="Titre4tableau"/>
            </w:pPr>
            <w:r w:rsidRPr="00F17EA6">
              <w:t>Comment les produits de contraste améliorent-ils la performance de l’imagerie médicale</w:t>
            </w:r>
            <w:r w:rsidR="001C1DC7" w:rsidRPr="00F17EA6">
              <w:t> ?</w:t>
            </w:r>
          </w:p>
        </w:tc>
      </w:tr>
      <w:tr w:rsidR="009E3CDF" w:rsidRPr="00F17EA6" w:rsidTr="00F17EA6">
        <w:trPr>
          <w:trHeight w:val="20"/>
        </w:trPr>
        <w:tc>
          <w:tcPr>
            <w:tcW w:w="3567" w:type="dxa"/>
            <w:shd w:val="clear" w:color="auto" w:fill="auto"/>
          </w:tcPr>
          <w:p w:rsidR="009E3CDF" w:rsidRPr="00F17EA6" w:rsidRDefault="009E3CDF" w:rsidP="00F17EA6">
            <w:pPr>
              <w:pStyle w:val="Contenudetableau"/>
            </w:pPr>
            <w:r w:rsidRPr="00F17EA6">
              <w:t>Produit de contraste pour l’</w:t>
            </w:r>
            <w:r w:rsidR="006374AD" w:rsidRPr="00F17EA6">
              <w:t>imagerie par résonance magnétique (</w:t>
            </w:r>
            <w:r w:rsidRPr="00F17EA6">
              <w:t>IRM</w:t>
            </w:r>
            <w:r w:rsidR="006374AD" w:rsidRPr="00F17EA6">
              <w:t>)</w:t>
            </w:r>
            <w:r w:rsidR="00581BFF" w:rsidRPr="00F17EA6">
              <w:t>.</w:t>
            </w:r>
          </w:p>
          <w:p w:rsidR="009E3CDF" w:rsidRPr="00F17EA6" w:rsidRDefault="009E3CDF" w:rsidP="00F17EA6">
            <w:pPr>
              <w:pStyle w:val="Contenudetableau"/>
            </w:pPr>
            <w:r w:rsidRPr="00F17EA6">
              <w:t>Élimination d’un produit de contraste</w:t>
            </w:r>
            <w:r w:rsidR="00581BFF" w:rsidRPr="00F17EA6">
              <w:t>.</w:t>
            </w:r>
          </w:p>
        </w:tc>
        <w:tc>
          <w:tcPr>
            <w:tcW w:w="5931" w:type="dxa"/>
            <w:shd w:val="clear" w:color="auto" w:fill="auto"/>
          </w:tcPr>
          <w:p w:rsidR="009E3CDF" w:rsidRPr="00F17EA6" w:rsidRDefault="009E3CDF" w:rsidP="00F17EA6">
            <w:pPr>
              <w:pStyle w:val="Contenudetableau"/>
            </w:pPr>
            <w:r w:rsidRPr="00F17EA6">
              <w:t>Identifier les groupes fonctionnels dans un produit de contraste.</w:t>
            </w:r>
          </w:p>
          <w:p w:rsidR="001C1DC7" w:rsidRPr="00F17EA6" w:rsidRDefault="009E3CDF" w:rsidP="00F17EA6">
            <w:pPr>
              <w:pStyle w:val="Contenudetableau"/>
            </w:pPr>
            <w:r w:rsidRPr="00F17EA6">
              <w:t>Savoir qu’un produit de contraste améliore la visualisation d’un cliché d’imagerie médicale et que sa durée d’élimination est un critère de choix.</w:t>
            </w:r>
          </w:p>
          <w:p w:rsidR="009E3CDF" w:rsidRPr="00F17EA6" w:rsidRDefault="009E3CDF" w:rsidP="00F17EA6">
            <w:pPr>
              <w:pStyle w:val="Contenudetableau"/>
            </w:pPr>
            <w:r w:rsidRPr="00F17EA6">
              <w:t>Repérer</w:t>
            </w:r>
            <w:r w:rsidR="007603E2" w:rsidRPr="00F17EA6">
              <w:t>,</w:t>
            </w:r>
            <w:r w:rsidRPr="00F17EA6">
              <w:t xml:space="preserve"> sur une échelle de longueur d’onde ou de fréquence</w:t>
            </w:r>
            <w:r w:rsidR="007603E2" w:rsidRPr="00F17EA6">
              <w:t>,</w:t>
            </w:r>
            <w:r w:rsidRPr="00F17EA6">
              <w:t xml:space="preserve"> le domaine des radiofréquences utilisées pour l’IRM.</w:t>
            </w:r>
          </w:p>
        </w:tc>
      </w:tr>
      <w:tr w:rsidR="009E3CDF" w:rsidRPr="00F17EA6" w:rsidTr="00F17EA6">
        <w:trPr>
          <w:trHeight w:val="20"/>
        </w:trPr>
        <w:tc>
          <w:tcPr>
            <w:tcW w:w="9498" w:type="dxa"/>
            <w:gridSpan w:val="2"/>
            <w:shd w:val="clear" w:color="auto" w:fill="auto"/>
          </w:tcPr>
          <w:p w:rsidR="009E3CDF" w:rsidRPr="00F17EA6" w:rsidRDefault="009E3CDF" w:rsidP="008618B6">
            <w:pPr>
              <w:pStyle w:val="Titre4tableau"/>
              <w:pageBreakBefore/>
            </w:pPr>
            <w:r w:rsidRPr="00F17EA6">
              <w:lastRenderedPageBreak/>
              <w:t>Comment les marqueurs radioactifs sont-ils utilisés en imagerie médicale</w:t>
            </w:r>
            <w:r w:rsidR="001C1DC7" w:rsidRPr="00F17EA6">
              <w:t> ?</w:t>
            </w:r>
          </w:p>
        </w:tc>
      </w:tr>
      <w:tr w:rsidR="009E3CDF" w:rsidRPr="00F17EA6" w:rsidTr="00F17EA6">
        <w:trPr>
          <w:trHeight w:val="20"/>
        </w:trPr>
        <w:tc>
          <w:tcPr>
            <w:tcW w:w="3567" w:type="dxa"/>
            <w:shd w:val="clear" w:color="auto" w:fill="auto"/>
          </w:tcPr>
          <w:p w:rsidR="009E3CDF" w:rsidRPr="00F17EA6" w:rsidRDefault="009E3CDF" w:rsidP="00F17EA6">
            <w:pPr>
              <w:pStyle w:val="Contenudetableau"/>
            </w:pPr>
            <w:r w:rsidRPr="00F17EA6">
              <w:t>Noyau atomique, isotopes</w:t>
            </w:r>
            <w:r w:rsidR="00581BFF" w:rsidRPr="00F17EA6">
              <w:t>.</w:t>
            </w:r>
          </w:p>
          <w:p w:rsidR="009E3CDF" w:rsidRPr="00F17EA6" w:rsidRDefault="009E3CDF" w:rsidP="00F17EA6">
            <w:pPr>
              <w:pStyle w:val="Contenudetableau"/>
            </w:pPr>
            <w:r w:rsidRPr="00F17EA6">
              <w:t>Radioactivité</w:t>
            </w:r>
            <w:r w:rsidR="001C1DC7" w:rsidRPr="00F17EA6">
              <w:t> ;</w:t>
            </w:r>
            <w:r w:rsidRPr="00F17EA6">
              <w:t xml:space="preserve"> émission </w:t>
            </w:r>
            <w:r w:rsidRPr="00F17EA6">
              <w:rPr>
                <w:rFonts w:ascii="Symbol" w:hAnsi="Symbol"/>
              </w:rPr>
              <w:t></w:t>
            </w:r>
            <w:r w:rsidRPr="00F17EA6">
              <w:t xml:space="preserve">, </w:t>
            </w:r>
            <w:r w:rsidRPr="00F17EA6">
              <w:rPr>
                <w:rFonts w:ascii="Symbol" w:hAnsi="Symbol"/>
              </w:rPr>
              <w:t></w:t>
            </w:r>
            <w:r w:rsidRPr="00F17EA6">
              <w:t xml:space="preserve">-, </w:t>
            </w:r>
            <w:r w:rsidRPr="00F17EA6">
              <w:rPr>
                <w:rFonts w:ascii="Symbol" w:hAnsi="Symbol"/>
              </w:rPr>
              <w:t></w:t>
            </w:r>
            <w:r w:rsidRPr="00F17EA6">
              <w:t xml:space="preserve">+, </w:t>
            </w:r>
            <w:r w:rsidRPr="00F17EA6">
              <w:rPr>
                <w:rFonts w:ascii="Symbol" w:hAnsi="Symbol"/>
              </w:rPr>
              <w:t></w:t>
            </w:r>
            <w:r w:rsidR="00F17EA6">
              <w:rPr>
                <w:rFonts w:cs="Arial"/>
              </w:rPr>
              <w:t>.</w:t>
            </w:r>
          </w:p>
          <w:p w:rsidR="009E3CDF" w:rsidRPr="00F17EA6" w:rsidRDefault="009E3CDF" w:rsidP="00F17EA6">
            <w:pPr>
              <w:pStyle w:val="Contenudetableau"/>
            </w:pPr>
            <w:r w:rsidRPr="00F17EA6">
              <w:t>Activité (Bq), activité par unité de masse corporelle (</w:t>
            </w:r>
            <w:proofErr w:type="spellStart"/>
            <w:r w:rsidRPr="00F17EA6">
              <w:t>MBq</w:t>
            </w:r>
            <w:proofErr w:type="spellEnd"/>
            <w:r w:rsidRPr="00F17EA6">
              <w:t>/kg), dose (Sv)</w:t>
            </w:r>
            <w:r w:rsidR="00581BFF" w:rsidRPr="00F17EA6">
              <w:t>.</w:t>
            </w:r>
          </w:p>
          <w:p w:rsidR="001C1DC7" w:rsidRPr="00F17EA6" w:rsidRDefault="009E3CDF" w:rsidP="00F17EA6">
            <w:pPr>
              <w:pStyle w:val="Contenudetableau"/>
            </w:pPr>
            <w:r w:rsidRPr="00F17EA6">
              <w:t>Période ou demi-vie radioactive</w:t>
            </w:r>
            <w:r w:rsidR="000E7B30" w:rsidRPr="00F17EA6">
              <w:t>.</w:t>
            </w:r>
            <w:r w:rsidR="00F17EA6">
              <w:br/>
            </w:r>
          </w:p>
          <w:p w:rsidR="009E3CDF" w:rsidRPr="00F17EA6" w:rsidRDefault="009E3CDF" w:rsidP="00F17EA6">
            <w:pPr>
              <w:pStyle w:val="Contenudetableau"/>
            </w:pPr>
            <w:r w:rsidRPr="00F17EA6">
              <w:t>Marqueurs rad</w:t>
            </w:r>
            <w:r w:rsidR="000E7B30" w:rsidRPr="00F17EA6">
              <w:t>ioactifs pour imagerie médicale.</w:t>
            </w:r>
          </w:p>
        </w:tc>
        <w:tc>
          <w:tcPr>
            <w:tcW w:w="5931" w:type="dxa"/>
            <w:shd w:val="clear" w:color="auto" w:fill="auto"/>
          </w:tcPr>
          <w:p w:rsidR="009E3CDF" w:rsidRPr="00F17EA6" w:rsidRDefault="009E3CDF" w:rsidP="00F17EA6">
            <w:pPr>
              <w:pStyle w:val="Contenudetableau"/>
            </w:pPr>
            <w:r w:rsidRPr="00F17EA6">
              <w:t xml:space="preserve">Décrire la composition du noyau d’un atome et </w:t>
            </w:r>
            <w:r w:rsidR="006374AD" w:rsidRPr="00F17EA6">
              <w:t>i</w:t>
            </w:r>
            <w:r w:rsidRPr="00F17EA6">
              <w:t>dentifier des isotopes</w:t>
            </w:r>
            <w:r w:rsidR="00491064" w:rsidRPr="00F17EA6">
              <w:t>.</w:t>
            </w:r>
          </w:p>
          <w:p w:rsidR="009E3CDF" w:rsidRPr="00F17EA6" w:rsidRDefault="009E3CDF" w:rsidP="00F17EA6">
            <w:pPr>
              <w:pStyle w:val="Contenudetableau"/>
            </w:pPr>
            <w:r w:rsidRPr="00F17EA6">
              <w:t>À partir d’une équation de désintégration fournie, identifier la nature de l’émission radioactive.</w:t>
            </w:r>
          </w:p>
          <w:p w:rsidR="001C1DC7" w:rsidRPr="00F17EA6" w:rsidRDefault="009E3CDF" w:rsidP="00F17EA6">
            <w:pPr>
              <w:pStyle w:val="Contenudetableau"/>
            </w:pPr>
            <w:r w:rsidRPr="00F17EA6">
              <w:t xml:space="preserve">Repérer sur une échelle de longueur d’onde ou de fréquence le domaine des rayonnements </w:t>
            </w:r>
            <w:r w:rsidRPr="00F17EA6">
              <w:rPr>
                <w:rFonts w:ascii="Symbol" w:hAnsi="Symbol"/>
              </w:rPr>
              <w:t></w:t>
            </w:r>
            <w:r w:rsidRPr="00F17EA6">
              <w:t>.</w:t>
            </w:r>
          </w:p>
          <w:p w:rsidR="009E3CDF" w:rsidRPr="00F17EA6" w:rsidRDefault="009E3CDF" w:rsidP="00F17EA6">
            <w:pPr>
              <w:pStyle w:val="Contenudetableau"/>
            </w:pPr>
            <w:r w:rsidRPr="00F17EA6">
              <w:t xml:space="preserve">Définir la période d’un </w:t>
            </w:r>
            <w:r w:rsidR="00F17EA6" w:rsidRPr="00F17EA6">
              <w:t>radio-isotope</w:t>
            </w:r>
            <w:r w:rsidRPr="00F17EA6">
              <w:t xml:space="preserve"> et la déterminer graphiquement.</w:t>
            </w:r>
          </w:p>
          <w:p w:rsidR="009E3CDF" w:rsidRPr="00F17EA6" w:rsidRDefault="009E3CDF" w:rsidP="00F17EA6">
            <w:pPr>
              <w:pStyle w:val="Contenudetableau"/>
            </w:pPr>
            <w:r w:rsidRPr="00F17EA6">
              <w:t>À partir de documents, comparer les spécificités de l’usage de marqueurs (nature, cible, dose, durée d’élimination par l’organisme, etc.) et les champs d’application des techniques d’imagerie médicale pouvant utiliser un marqueur radioactif, telles que la radiographie, la scintigraphie ou la tomographie par émission de positon.</w:t>
            </w:r>
          </w:p>
          <w:p w:rsidR="009E3CDF" w:rsidRPr="00F17EA6" w:rsidRDefault="009E3CDF" w:rsidP="00F17EA6">
            <w:pPr>
              <w:pStyle w:val="Contenudetableau"/>
            </w:pPr>
            <w:r w:rsidRPr="00F17EA6">
              <w:t>Comparer qualitativement les doses utilisées en médecine nucléaire diagnostique et en radiothérapie nucléaire.</w:t>
            </w:r>
          </w:p>
          <w:p w:rsidR="009E3CDF" w:rsidRPr="00F17EA6" w:rsidRDefault="009E3CDF" w:rsidP="00F17EA6">
            <w:pPr>
              <w:pStyle w:val="Contenudetableau"/>
            </w:pPr>
            <w:r w:rsidRPr="00F17EA6">
              <w:t>Connaître les précautions d’emploi d’une source radioactive en milieu médical.</w:t>
            </w:r>
          </w:p>
        </w:tc>
      </w:tr>
    </w:tbl>
    <w:p w:rsidR="002660F6" w:rsidRPr="00720A6A" w:rsidRDefault="002660F6" w:rsidP="007C780E">
      <w:pPr>
        <w:spacing w:before="0"/>
        <w:rPr>
          <w:lang w:eastAsia="fr-FR"/>
        </w:rPr>
      </w:pPr>
      <w:bookmarkStart w:id="32" w:name="_Toc8396277"/>
    </w:p>
    <w:p w:rsidR="000E7B30" w:rsidRPr="007C780E" w:rsidRDefault="009E3CDF" w:rsidP="00720A6A">
      <w:pPr>
        <w:pStyle w:val="Titre5"/>
        <w:spacing w:before="0" w:after="60"/>
        <w:rPr>
          <w:rFonts w:eastAsia="Calibri"/>
          <w:bCs/>
          <w:lang w:eastAsia="fr-FR"/>
        </w:rPr>
      </w:pPr>
      <w:bookmarkStart w:id="33" w:name="_Toc8815402"/>
      <w:bookmarkStart w:id="34" w:name="_Toc8816193"/>
      <w:r w:rsidRPr="007C780E">
        <w:rPr>
          <w:rFonts w:eastAsia="Calibri"/>
          <w:lang w:eastAsia="fr-FR"/>
        </w:rPr>
        <w:t>L’analyse chimique pour le contrôle de la composition des milieux biologiques et naturels</w:t>
      </w:r>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29"/>
        <w:gridCol w:w="142"/>
        <w:gridCol w:w="5557"/>
      </w:tblGrid>
      <w:tr w:rsidR="00720A6A" w:rsidRPr="00F17EA6" w:rsidTr="00720A6A">
        <w:trPr>
          <w:trHeight w:val="20"/>
        </w:trPr>
        <w:tc>
          <w:tcPr>
            <w:tcW w:w="3429" w:type="dxa"/>
            <w:shd w:val="clear" w:color="auto" w:fill="auto"/>
            <w:vAlign w:val="center"/>
          </w:tcPr>
          <w:p w:rsidR="00720A6A" w:rsidRPr="00F17EA6" w:rsidRDefault="00720A6A" w:rsidP="00720A6A">
            <w:pPr>
              <w:pStyle w:val="Titre5tableau"/>
              <w:spacing w:before="40" w:after="40"/>
            </w:pPr>
            <w:r w:rsidRPr="00F17EA6">
              <w:t>Notions et contenus</w:t>
            </w:r>
          </w:p>
        </w:tc>
        <w:tc>
          <w:tcPr>
            <w:tcW w:w="5699" w:type="dxa"/>
            <w:gridSpan w:val="2"/>
            <w:shd w:val="clear" w:color="auto" w:fill="auto"/>
            <w:vAlign w:val="center"/>
          </w:tcPr>
          <w:p w:rsidR="00720A6A" w:rsidRPr="00F17EA6" w:rsidRDefault="00720A6A" w:rsidP="00720A6A">
            <w:pPr>
              <w:pStyle w:val="Titre5tableau"/>
              <w:spacing w:before="40" w:after="40"/>
            </w:pPr>
            <w:r w:rsidRPr="00F17EA6">
              <w:t>Connaissances et capacités exigibles</w:t>
            </w:r>
          </w:p>
          <w:p w:rsidR="00720A6A" w:rsidRPr="00F17EA6" w:rsidRDefault="00720A6A" w:rsidP="00720A6A">
            <w:pPr>
              <w:pStyle w:val="Titre5tableau"/>
              <w:spacing w:before="40" w:after="40"/>
            </w:pPr>
            <w:r w:rsidRPr="00F17EA6">
              <w:rPr>
                <w:rFonts w:eastAsia="Times"/>
                <w:i/>
              </w:rPr>
              <w:t>Activités expérimentales support de la formation</w:t>
            </w:r>
          </w:p>
        </w:tc>
      </w:tr>
      <w:tr w:rsidR="009E3CDF" w:rsidRPr="00F17EA6" w:rsidTr="00720A6A">
        <w:trPr>
          <w:trHeight w:val="20"/>
        </w:trPr>
        <w:tc>
          <w:tcPr>
            <w:tcW w:w="9128" w:type="dxa"/>
            <w:gridSpan w:val="3"/>
            <w:shd w:val="clear" w:color="auto" w:fill="auto"/>
          </w:tcPr>
          <w:p w:rsidR="009E3CDF" w:rsidRPr="00F17EA6" w:rsidRDefault="009E3CDF" w:rsidP="00F17EA6">
            <w:pPr>
              <w:pStyle w:val="Titre4tableau"/>
            </w:pPr>
            <w:r w:rsidRPr="00F17EA6">
              <w:t>Sur quels principes chimiques sont fondées les analyses médicales</w:t>
            </w:r>
            <w:r w:rsidR="001C1DC7" w:rsidRPr="00F17EA6">
              <w:t> ?</w:t>
            </w:r>
          </w:p>
        </w:tc>
      </w:tr>
      <w:tr w:rsidR="009E3CDF" w:rsidRPr="00F17EA6" w:rsidTr="00720A6A">
        <w:trPr>
          <w:trHeight w:val="20"/>
        </w:trPr>
        <w:tc>
          <w:tcPr>
            <w:tcW w:w="3571" w:type="dxa"/>
            <w:gridSpan w:val="2"/>
            <w:shd w:val="clear" w:color="auto" w:fill="auto"/>
          </w:tcPr>
          <w:p w:rsidR="009E3CDF" w:rsidRPr="00F17EA6" w:rsidRDefault="009E3CDF" w:rsidP="00F17EA6">
            <w:pPr>
              <w:pStyle w:val="Contenudetableau"/>
            </w:pPr>
            <w:r w:rsidRPr="00F17EA6">
              <w:t>Soluté moléculaire ou ionique</w:t>
            </w:r>
            <w:r w:rsidR="000E7B30" w:rsidRPr="00F17EA6">
              <w:t>.</w:t>
            </w:r>
          </w:p>
          <w:p w:rsidR="001C1DC7" w:rsidRPr="00F17EA6" w:rsidRDefault="009E3CDF" w:rsidP="00F17EA6">
            <w:pPr>
              <w:pStyle w:val="Contenudetableau"/>
              <w:spacing w:after="0"/>
            </w:pPr>
            <w:r w:rsidRPr="00F17EA6">
              <w:t>Dissolution</w:t>
            </w:r>
            <w:r w:rsidR="000E7B30" w:rsidRPr="00F17EA6">
              <w:t>.</w:t>
            </w:r>
            <w:r w:rsidR="00F17EA6">
              <w:br/>
            </w:r>
          </w:p>
          <w:p w:rsidR="001C1DC7" w:rsidRDefault="009E3CDF" w:rsidP="00F17EA6">
            <w:pPr>
              <w:pStyle w:val="Contenudetableau"/>
              <w:spacing w:before="0"/>
            </w:pPr>
            <w:r w:rsidRPr="00F17EA6">
              <w:t xml:space="preserve">Concentrations </w:t>
            </w:r>
            <w:r w:rsidR="002315F9" w:rsidRPr="00F17EA6">
              <w:t xml:space="preserve">en masse </w:t>
            </w:r>
            <w:r w:rsidRPr="00F17EA6">
              <w:t xml:space="preserve">et </w:t>
            </w:r>
            <w:r w:rsidR="002315F9" w:rsidRPr="00F17EA6">
              <w:t>en quantité de matière</w:t>
            </w:r>
            <w:r w:rsidR="000E7B30" w:rsidRPr="00F17EA6">
              <w:t>.</w:t>
            </w:r>
            <w:r w:rsidR="00F17EA6">
              <w:br/>
            </w:r>
            <w:r w:rsidR="00F17EA6">
              <w:br/>
            </w:r>
          </w:p>
          <w:p w:rsidR="00F17EA6" w:rsidRPr="00F17EA6" w:rsidRDefault="00F17EA6" w:rsidP="00F17EA6">
            <w:pPr>
              <w:pStyle w:val="Contenudetableau"/>
              <w:spacing w:before="0"/>
            </w:pPr>
            <w:r>
              <w:br/>
            </w:r>
          </w:p>
          <w:p w:rsidR="001C1DC7" w:rsidRPr="00F17EA6" w:rsidRDefault="009E3CDF" w:rsidP="00F17EA6">
            <w:pPr>
              <w:pStyle w:val="Contenudetableau"/>
            </w:pPr>
            <w:r w:rsidRPr="00F17EA6">
              <w:t>Dilution</w:t>
            </w:r>
            <w:r w:rsidR="000E7B30" w:rsidRPr="00F17EA6">
              <w:t>.</w:t>
            </w:r>
            <w:r w:rsidR="00F17EA6">
              <w:br/>
            </w:r>
            <w:r w:rsidR="00F17EA6">
              <w:br/>
            </w:r>
            <w:r w:rsidR="00F17EA6">
              <w:br/>
            </w:r>
            <w:r w:rsidR="00F17EA6">
              <w:br/>
            </w:r>
          </w:p>
          <w:p w:rsidR="009E3CDF" w:rsidRPr="00F17EA6" w:rsidRDefault="009E3CDF" w:rsidP="00F17EA6">
            <w:pPr>
              <w:pStyle w:val="Contenudetableau"/>
            </w:pPr>
            <w:r w:rsidRPr="00F17EA6">
              <w:t>Usage des rayonnements du spectre visible dans le cadre d’un dosage</w:t>
            </w:r>
            <w:r w:rsidR="000E7B30" w:rsidRPr="00F17EA6">
              <w:t>.</w:t>
            </w:r>
          </w:p>
          <w:p w:rsidR="009E3CDF" w:rsidRPr="00F17EA6" w:rsidRDefault="009E3CDF" w:rsidP="00F17EA6">
            <w:pPr>
              <w:pStyle w:val="Contenudetableau"/>
            </w:pPr>
            <w:r w:rsidRPr="00F17EA6">
              <w:t>Dosage par étalonnage</w:t>
            </w:r>
            <w:r w:rsidR="000E7B30" w:rsidRPr="00F17EA6">
              <w:t>.</w:t>
            </w:r>
          </w:p>
        </w:tc>
        <w:tc>
          <w:tcPr>
            <w:tcW w:w="5557" w:type="dxa"/>
            <w:shd w:val="clear" w:color="auto" w:fill="auto"/>
          </w:tcPr>
          <w:p w:rsidR="009E3CDF" w:rsidRPr="00F17EA6" w:rsidRDefault="009E3CDF" w:rsidP="00F17EA6">
            <w:pPr>
              <w:pStyle w:val="Contenudetableau"/>
            </w:pPr>
            <w:r w:rsidRPr="00F17EA6">
              <w:t>Écrire l’équation de dissolution d’un soluté ionique à partir de la donnée de la formule des ions constituant le soluté.</w:t>
            </w:r>
          </w:p>
          <w:p w:rsidR="001C1DC7" w:rsidRPr="00F17EA6" w:rsidRDefault="009E3CDF" w:rsidP="00F17EA6">
            <w:pPr>
              <w:pStyle w:val="Contenudetableau"/>
            </w:pPr>
            <w:r w:rsidRPr="00F17EA6">
              <w:t xml:space="preserve">Déterminer les concentrations </w:t>
            </w:r>
            <w:r w:rsidR="002315F9" w:rsidRPr="00F17EA6">
              <w:t xml:space="preserve">en masse </w:t>
            </w:r>
            <w:r w:rsidRPr="00F17EA6">
              <w:t xml:space="preserve">et </w:t>
            </w:r>
            <w:r w:rsidR="002315F9" w:rsidRPr="00F17EA6">
              <w:t xml:space="preserve">en quantité de matière </w:t>
            </w:r>
            <w:r w:rsidRPr="00F17EA6">
              <w:t>d’une espèce dissoute</w:t>
            </w:r>
            <w:r w:rsidR="001C1DC7" w:rsidRPr="00F17EA6">
              <w:t> ;</w:t>
            </w:r>
            <w:r w:rsidRPr="00F17EA6">
              <w:t xml:space="preserve"> exploiter ces concentrations dans le cadre d’une application médicale (dose à administrer, par exemple).</w:t>
            </w:r>
          </w:p>
          <w:p w:rsidR="001C1DC7" w:rsidRPr="00F17EA6" w:rsidRDefault="009E3CDF" w:rsidP="00F17EA6">
            <w:pPr>
              <w:pStyle w:val="Contenudetableau"/>
              <w:rPr>
                <w:i/>
              </w:rPr>
            </w:pPr>
            <w:r w:rsidRPr="00F17EA6">
              <w:t>Calculer la masse ou le volume de soluté à prélever pour la dissolution.</w:t>
            </w:r>
          </w:p>
          <w:p w:rsidR="009E3CDF" w:rsidRPr="00F17EA6" w:rsidRDefault="009E3CDF" w:rsidP="00F17EA6">
            <w:pPr>
              <w:pStyle w:val="Contenudetableau"/>
              <w:rPr>
                <w:i/>
              </w:rPr>
            </w:pPr>
            <w:r w:rsidRPr="00F17EA6">
              <w:rPr>
                <w:i/>
              </w:rPr>
              <w:t xml:space="preserve">Proposer et mettre en œuvre un protocole de dissolution ou de dilution pour préparer une solution de concentration </w:t>
            </w:r>
            <w:r w:rsidR="00940E0F" w:rsidRPr="00F17EA6">
              <w:rPr>
                <w:i/>
              </w:rPr>
              <w:t xml:space="preserve">en quantité de matière </w:t>
            </w:r>
            <w:r w:rsidRPr="00F17EA6">
              <w:rPr>
                <w:i/>
              </w:rPr>
              <w:t xml:space="preserve">ou de concentration </w:t>
            </w:r>
            <w:r w:rsidR="00940E0F" w:rsidRPr="00F17EA6">
              <w:rPr>
                <w:i/>
              </w:rPr>
              <w:t xml:space="preserve">en masse </w:t>
            </w:r>
            <w:r w:rsidRPr="00F17EA6">
              <w:rPr>
                <w:i/>
              </w:rPr>
              <w:t>donnée pour un soluté moléculaire ou ionique.</w:t>
            </w:r>
          </w:p>
          <w:p w:rsidR="009E3CDF" w:rsidRPr="00F17EA6" w:rsidRDefault="009E3CDF" w:rsidP="00F17EA6">
            <w:pPr>
              <w:pStyle w:val="Contenudetableau"/>
              <w:rPr>
                <w:i/>
              </w:rPr>
            </w:pPr>
            <w:r w:rsidRPr="00F17EA6">
              <w:rPr>
                <w:i/>
              </w:rPr>
              <w:t>Mettre en œuvre un protocole expérimental pour identifier une espèce colorée en solution.</w:t>
            </w:r>
          </w:p>
          <w:p w:rsidR="009E3CDF" w:rsidRPr="00F17EA6" w:rsidRDefault="009E3CDF" w:rsidP="00720A6A">
            <w:pPr>
              <w:pStyle w:val="Contenudetableau"/>
              <w:spacing w:after="0"/>
              <w:rPr>
                <w:i/>
              </w:rPr>
            </w:pPr>
            <w:r w:rsidRPr="00F17EA6">
              <w:rPr>
                <w:i/>
              </w:rPr>
              <w:t>Pratiquer une démarche expérimentale (dosage par étalonnage et/ou spectrophotométrie) de détermination de la concentration d’une espèce</w:t>
            </w:r>
            <w:r w:rsidR="001C1DC7" w:rsidRPr="00F17EA6">
              <w:rPr>
                <w:i/>
              </w:rPr>
              <w:t> :</w:t>
            </w:r>
            <w:r w:rsidRPr="00F17EA6">
              <w:rPr>
                <w:i/>
              </w:rPr>
              <w:t xml:space="preserve"> glucose, fer, cuivre</w:t>
            </w:r>
            <w:r w:rsidR="001C1DC7" w:rsidRPr="00F17EA6">
              <w:rPr>
                <w:i/>
              </w:rPr>
              <w:t>, etc.</w:t>
            </w:r>
          </w:p>
          <w:p w:rsidR="009E3CDF" w:rsidRPr="00F17EA6" w:rsidRDefault="009E3CDF" w:rsidP="00F17EA6">
            <w:pPr>
              <w:pStyle w:val="Contenudetableau"/>
            </w:pPr>
            <w:r w:rsidRPr="00F17EA6">
              <w:lastRenderedPageBreak/>
              <w:t>Interpréter le résultat d’une analyse médicale au regard des normes.</w:t>
            </w:r>
          </w:p>
        </w:tc>
      </w:tr>
      <w:tr w:rsidR="009E3CDF" w:rsidRPr="00F17EA6" w:rsidTr="00720A6A">
        <w:trPr>
          <w:trHeight w:val="20"/>
        </w:trPr>
        <w:tc>
          <w:tcPr>
            <w:tcW w:w="9128" w:type="dxa"/>
            <w:gridSpan w:val="3"/>
            <w:shd w:val="clear" w:color="auto" w:fill="auto"/>
          </w:tcPr>
          <w:p w:rsidR="009E3CDF" w:rsidRPr="00F17EA6" w:rsidRDefault="009E3CDF" w:rsidP="001200C9">
            <w:pPr>
              <w:pStyle w:val="Titre4tableau"/>
              <w:spacing w:before="40" w:after="40"/>
            </w:pPr>
            <w:r w:rsidRPr="00F17EA6">
              <w:lastRenderedPageBreak/>
              <w:t>Quels enjeux sanitaires sont révélés par l’analyse de la composition des milieux naturels</w:t>
            </w:r>
            <w:r w:rsidR="001C1DC7" w:rsidRPr="00F17EA6">
              <w:t> ?</w:t>
            </w:r>
          </w:p>
        </w:tc>
      </w:tr>
      <w:tr w:rsidR="009E3CDF" w:rsidRPr="00F17EA6" w:rsidTr="00720A6A">
        <w:trPr>
          <w:trHeight w:val="20"/>
        </w:trPr>
        <w:tc>
          <w:tcPr>
            <w:tcW w:w="3571" w:type="dxa"/>
            <w:gridSpan w:val="2"/>
            <w:shd w:val="clear" w:color="auto" w:fill="auto"/>
          </w:tcPr>
          <w:p w:rsidR="001C1DC7" w:rsidRPr="00F17EA6" w:rsidRDefault="009E3CDF" w:rsidP="008618B6">
            <w:pPr>
              <w:pStyle w:val="Contenudetableau"/>
            </w:pPr>
            <w:r w:rsidRPr="00F17EA6">
              <w:t>Effet d’un polluant chimique sur la santé</w:t>
            </w:r>
            <w:r w:rsidR="000E7B30" w:rsidRPr="00F17EA6">
              <w:t>.</w:t>
            </w:r>
            <w:r w:rsidR="008618B6">
              <w:br/>
            </w:r>
            <w:r w:rsidR="008618B6">
              <w:br/>
            </w:r>
          </w:p>
          <w:p w:rsidR="009E3CDF" w:rsidRPr="00F17EA6" w:rsidRDefault="009E3CDF" w:rsidP="008618B6">
            <w:pPr>
              <w:pStyle w:val="Contenudetableau"/>
            </w:pPr>
            <w:r w:rsidRPr="00F17EA6">
              <w:t>Traçabilité d’une substance en milieu biologique ou naturel</w:t>
            </w:r>
            <w:r w:rsidR="000E7B30" w:rsidRPr="00F17EA6">
              <w:t>.</w:t>
            </w:r>
            <w:r w:rsidR="008618B6">
              <w:br/>
            </w:r>
          </w:p>
          <w:p w:rsidR="009E3CDF" w:rsidRPr="00F17EA6" w:rsidRDefault="009E3CDF" w:rsidP="008618B6">
            <w:pPr>
              <w:pStyle w:val="Contenudetableau"/>
            </w:pPr>
            <w:r w:rsidRPr="00F17EA6">
              <w:t>Effet temporel d’une exposition</w:t>
            </w:r>
            <w:r w:rsidR="000E7B30" w:rsidRPr="00F17EA6">
              <w:t>.</w:t>
            </w:r>
            <w:r w:rsidR="008618B6">
              <w:br/>
            </w:r>
          </w:p>
          <w:p w:rsidR="001C1DC7" w:rsidRPr="00F17EA6" w:rsidRDefault="009E3CDF" w:rsidP="008618B6">
            <w:pPr>
              <w:pStyle w:val="Contenudetableau"/>
            </w:pPr>
            <w:r w:rsidRPr="00F17EA6">
              <w:t>Doses, faibles doses et réglementation</w:t>
            </w:r>
            <w:r w:rsidR="000E7B30" w:rsidRPr="00F17EA6">
              <w:t>.</w:t>
            </w:r>
            <w:r w:rsidR="008618B6">
              <w:br/>
            </w:r>
          </w:p>
          <w:p w:rsidR="009E3CDF" w:rsidRPr="00F17EA6" w:rsidRDefault="009E3CDF" w:rsidP="008618B6">
            <w:pPr>
              <w:pStyle w:val="Contenudetableau"/>
            </w:pPr>
            <w:r w:rsidRPr="00F17EA6">
              <w:t>Acidification d’une eau par dissolution du dioxyde de carbone ou du dioxyde de soufre</w:t>
            </w:r>
            <w:r w:rsidR="000E7B30" w:rsidRPr="00F17EA6">
              <w:t>.</w:t>
            </w:r>
          </w:p>
        </w:tc>
        <w:tc>
          <w:tcPr>
            <w:tcW w:w="5557" w:type="dxa"/>
            <w:shd w:val="clear" w:color="auto" w:fill="auto"/>
          </w:tcPr>
          <w:p w:rsidR="001C1DC7" w:rsidRPr="00F17EA6" w:rsidRDefault="009E3CDF" w:rsidP="008618B6">
            <w:pPr>
              <w:pStyle w:val="Contenudetableau"/>
            </w:pPr>
            <w:r w:rsidRPr="00F17EA6">
              <w:t>Analyser des données sur la dangerosité des polluants. Commenter les perspectives en matière de recherche et de développement pour améliorer la détection des polluants, et limiter leur présence.</w:t>
            </w:r>
          </w:p>
          <w:p w:rsidR="009E3CDF" w:rsidRPr="00F17EA6" w:rsidRDefault="009E3CDF" w:rsidP="008618B6">
            <w:pPr>
              <w:pStyle w:val="Contenudetableau"/>
            </w:pPr>
            <w:r w:rsidRPr="00F17EA6">
              <w:t>Commenter et analyser des documents relatifs aux flux d’une substance, à sa traçabilité ou au processus de sa bioaccumulation.</w:t>
            </w:r>
          </w:p>
          <w:p w:rsidR="009E3CDF" w:rsidRPr="00F17EA6" w:rsidRDefault="009E3CDF" w:rsidP="008618B6">
            <w:pPr>
              <w:pStyle w:val="Contenudetableau"/>
            </w:pPr>
            <w:r w:rsidRPr="00F17EA6">
              <w:t>Interpréter une courbe d’évolution cinétique d’une substance.</w:t>
            </w:r>
          </w:p>
          <w:p w:rsidR="009E3CDF" w:rsidRPr="00F17EA6" w:rsidRDefault="009E3CDF" w:rsidP="008618B6">
            <w:pPr>
              <w:pStyle w:val="Contenudetableau"/>
            </w:pPr>
            <w:r w:rsidRPr="00F17EA6">
              <w:t>Interpréter les mesures prises en lien avec la réglementation sur les doses, notamment les faibles doses dans les rejets secondaires.</w:t>
            </w:r>
          </w:p>
          <w:p w:rsidR="009E3CDF" w:rsidRPr="008618B6" w:rsidRDefault="009E3CDF" w:rsidP="008618B6">
            <w:pPr>
              <w:pStyle w:val="Contenudetableau"/>
            </w:pPr>
            <w:r w:rsidRPr="00F17EA6">
              <w:t>Analyser des données chimiques relatives à l’acidification des océans et aux conséquences sur la biodiversité à partir des couples acido-basiques</w:t>
            </w:r>
            <w:r w:rsidR="008618B6">
              <w:t xml:space="preserve"> </w:t>
            </w:r>
            <w:r w:rsidRPr="008618B6">
              <w:t>CO</w:t>
            </w:r>
            <w:r w:rsidRPr="008618B6">
              <w:rPr>
                <w:vertAlign w:val="subscript"/>
              </w:rPr>
              <w:t>2</w:t>
            </w:r>
            <w:r w:rsidRPr="008618B6">
              <w:t>,</w:t>
            </w:r>
            <w:r w:rsidR="008618B6">
              <w:t> </w:t>
            </w:r>
            <w:r w:rsidRPr="008618B6">
              <w:t>H</w:t>
            </w:r>
            <w:r w:rsidRPr="008618B6">
              <w:rPr>
                <w:vertAlign w:val="subscript"/>
              </w:rPr>
              <w:t>2</w:t>
            </w:r>
            <w:r w:rsidRPr="008618B6">
              <w:t>O</w:t>
            </w:r>
            <w:r w:rsidR="008618B6">
              <w:t> </w:t>
            </w:r>
            <w:r w:rsidRPr="008618B6">
              <w:t>/</w:t>
            </w:r>
            <w:r w:rsidR="008618B6">
              <w:t> </w:t>
            </w:r>
            <m:oMath>
              <m:r>
                <m:rPr>
                  <m:nor/>
                </m:rPr>
                <w:rPr>
                  <w:rFonts w:cs="Arial"/>
                </w:rPr>
                <m:t>HC</m:t>
              </m:r>
              <m:sSubSup>
                <m:sSubSupPr>
                  <m:ctrlPr>
                    <w:rPr>
                      <w:rFonts w:ascii="Cambria Math" w:hAnsi="Cambria Math" w:cs="Arial"/>
                      <w:i/>
                      <w:lang w:val="en-US"/>
                    </w:rPr>
                  </m:ctrlPr>
                </m:sSubSupPr>
                <m:e>
                  <m:r>
                    <m:rPr>
                      <m:nor/>
                    </m:rPr>
                    <w:rPr>
                      <w:rFonts w:cs="Arial"/>
                    </w:rPr>
                    <m:t>O</m:t>
                  </m:r>
                </m:e>
                <m:sub>
                  <m:r>
                    <m:rPr>
                      <m:nor/>
                    </m:rPr>
                    <w:rPr>
                      <w:rFonts w:cs="Arial"/>
                    </w:rPr>
                    <m:t>3</m:t>
                  </m:r>
                </m:sub>
                <m:sup>
                  <m:r>
                    <w:rPr>
                      <w:rFonts w:ascii="Cambria Math" w:hAnsi="Cambria Math" w:cs="Arial"/>
                    </w:rPr>
                    <m:t xml:space="preserve"> </m:t>
                  </m:r>
                  <m:r>
                    <m:rPr>
                      <m:nor/>
                    </m:rPr>
                    <w:rPr>
                      <w:rFonts w:cs="Arial"/>
                    </w:rPr>
                    <m:t>-</m:t>
                  </m:r>
                </m:sup>
              </m:sSubSup>
            </m:oMath>
            <w:r w:rsidRPr="008618B6">
              <w:t xml:space="preserve"> et </w:t>
            </w:r>
            <m:oMath>
              <m:r>
                <m:rPr>
                  <m:nor/>
                </m:rPr>
                <w:rPr>
                  <w:rFonts w:cs="Arial"/>
                </w:rPr>
                <m:t>HC</m:t>
              </m:r>
              <m:sSubSup>
                <m:sSubSupPr>
                  <m:ctrlPr>
                    <w:rPr>
                      <w:rFonts w:ascii="Cambria Math" w:hAnsi="Cambria Math" w:cs="Arial"/>
                      <w:i/>
                      <w:lang w:val="en-US"/>
                    </w:rPr>
                  </m:ctrlPr>
                </m:sSubSupPr>
                <m:e>
                  <m:r>
                    <m:rPr>
                      <m:nor/>
                    </m:rPr>
                    <w:rPr>
                      <w:rFonts w:cs="Arial"/>
                    </w:rPr>
                    <m:t>O</m:t>
                  </m:r>
                </m:e>
                <m:sub>
                  <m:r>
                    <m:rPr>
                      <m:nor/>
                    </m:rPr>
                    <w:rPr>
                      <w:rFonts w:cs="Arial"/>
                    </w:rPr>
                    <m:t>3</m:t>
                  </m:r>
                </m:sub>
                <m:sup>
                  <m:r>
                    <w:rPr>
                      <w:rFonts w:ascii="Cambria Math" w:hAnsi="Cambria Math" w:cs="Arial"/>
                    </w:rPr>
                    <m:t xml:space="preserve"> </m:t>
                  </m:r>
                  <m:r>
                    <m:rPr>
                      <m:nor/>
                    </m:rPr>
                    <w:rPr>
                      <w:rFonts w:cs="Arial"/>
                    </w:rPr>
                    <m:t>-</m:t>
                  </m:r>
                </m:sup>
              </m:sSubSup>
            </m:oMath>
            <w:r w:rsidRPr="008618B6">
              <w:t xml:space="preserve"> / </w:t>
            </w:r>
            <m:oMath>
              <m:r>
                <m:rPr>
                  <m:nor/>
                </m:rPr>
                <w:rPr>
                  <w:rFonts w:cs="Arial"/>
                </w:rPr>
                <m:t>C</m:t>
              </m:r>
              <m:sSubSup>
                <m:sSubSupPr>
                  <m:ctrlPr>
                    <w:rPr>
                      <w:rFonts w:ascii="Cambria Math" w:hAnsi="Cambria Math" w:cs="Arial"/>
                      <w:i/>
                      <w:lang w:val="en-US"/>
                    </w:rPr>
                  </m:ctrlPr>
                </m:sSubSupPr>
                <m:e>
                  <m:r>
                    <m:rPr>
                      <m:nor/>
                    </m:rPr>
                    <w:rPr>
                      <w:rFonts w:cs="Arial"/>
                    </w:rPr>
                    <m:t>O</m:t>
                  </m:r>
                </m:e>
                <m:sub>
                  <m:r>
                    <m:rPr>
                      <m:nor/>
                    </m:rPr>
                    <w:rPr>
                      <w:rFonts w:cs="Arial"/>
                    </w:rPr>
                    <m:t>3</m:t>
                  </m:r>
                </m:sub>
                <m:sup>
                  <m:r>
                    <m:rPr>
                      <m:nor/>
                    </m:rPr>
                    <w:rPr>
                      <w:rFonts w:cs="Arial"/>
                    </w:rPr>
                    <m:t>2-</m:t>
                  </m:r>
                </m:sup>
              </m:sSubSup>
            </m:oMath>
            <w:r w:rsidR="00881C6F" w:rsidRPr="008618B6">
              <w:t>.</w:t>
            </w:r>
          </w:p>
          <w:p w:rsidR="009E3CDF" w:rsidRPr="00F17EA6" w:rsidRDefault="009E3CDF" w:rsidP="008618B6">
            <w:pPr>
              <w:pStyle w:val="Contenudetableau"/>
            </w:pPr>
            <w:r w:rsidRPr="00F17EA6">
              <w:t>Expliquer l’acidité de certaines pluies résultant de l’hydratation des gaz CO</w:t>
            </w:r>
            <w:r w:rsidRPr="00F17EA6">
              <w:rPr>
                <w:vertAlign w:val="subscript"/>
              </w:rPr>
              <w:t>2</w:t>
            </w:r>
            <w:r w:rsidRPr="00F17EA6">
              <w:t xml:space="preserve"> et SO</w:t>
            </w:r>
            <w:r w:rsidRPr="00F17EA6">
              <w:rPr>
                <w:vertAlign w:val="subscript"/>
              </w:rPr>
              <w:t>2</w:t>
            </w:r>
            <w:r w:rsidRPr="00F17EA6">
              <w:t xml:space="preserve"> à partir des couples acido-basiques mis en jeu</w:t>
            </w:r>
            <w:r w:rsidR="00491064" w:rsidRPr="00F17EA6">
              <w:t>.</w:t>
            </w:r>
          </w:p>
          <w:p w:rsidR="009E3CDF" w:rsidRPr="00F17EA6" w:rsidRDefault="009E3CDF" w:rsidP="001200C9">
            <w:pPr>
              <w:pStyle w:val="Contenudetableau"/>
              <w:spacing w:after="0"/>
            </w:pPr>
            <w:r w:rsidRPr="00F17EA6">
              <w:rPr>
                <w:i/>
              </w:rPr>
              <w:t>Mettre en œuvre un protocole montrant l’acidification d’une solution par dissolutio</w:t>
            </w:r>
            <w:r w:rsidR="00EF7BDB" w:rsidRPr="00F17EA6">
              <w:rPr>
                <w:i/>
              </w:rPr>
              <w:t>n de dioxyde de carbone.</w:t>
            </w:r>
          </w:p>
        </w:tc>
      </w:tr>
    </w:tbl>
    <w:p w:rsidR="007A4CBA" w:rsidRPr="007C780E" w:rsidRDefault="007A4CBA" w:rsidP="009B77C3">
      <w:pPr>
        <w:spacing w:before="0"/>
      </w:pPr>
    </w:p>
    <w:p w:rsidR="009E3CDF" w:rsidRPr="007C780E" w:rsidRDefault="009E3CDF" w:rsidP="001200C9">
      <w:pPr>
        <w:pStyle w:val="Titre5"/>
        <w:spacing w:before="0"/>
      </w:pPr>
      <w:r w:rsidRPr="007C780E">
        <w:t>Commentaires</w:t>
      </w:r>
    </w:p>
    <w:p w:rsidR="001C1DC7" w:rsidRPr="007C780E" w:rsidRDefault="009E3CDF" w:rsidP="00F17EA6">
      <w:pPr>
        <w:pStyle w:val="Titre4tableau"/>
        <w:rPr>
          <w:lang w:eastAsia="fr-FR"/>
        </w:rPr>
      </w:pPr>
      <w:r w:rsidRPr="007C780E">
        <w:rPr>
          <w:lang w:eastAsia="fr-FR"/>
        </w:rPr>
        <w:t>Ouvertures et limites</w:t>
      </w:r>
    </w:p>
    <w:p w:rsidR="009E3CDF" w:rsidRPr="007C780E" w:rsidRDefault="00BD550F" w:rsidP="00BA644F">
      <w:r w:rsidRPr="007C780E">
        <w:t xml:space="preserve">Le </w:t>
      </w:r>
      <w:r w:rsidR="009E3CDF" w:rsidRPr="007C780E">
        <w:t xml:space="preserve">thème 2 </w:t>
      </w:r>
      <w:r w:rsidR="0049260F" w:rsidRPr="007C780E">
        <w:t>aborde pour l’essentiel le</w:t>
      </w:r>
      <w:r w:rsidR="009E3CDF" w:rsidRPr="007C780E">
        <w:t xml:space="preserve"> milieu vivant de l’être humain</w:t>
      </w:r>
      <w:r w:rsidR="0049260F" w:rsidRPr="007C780E">
        <w:t>, et ce</w:t>
      </w:r>
      <w:r w:rsidR="009E3CDF" w:rsidRPr="007C780E">
        <w:t xml:space="preserve"> </w:t>
      </w:r>
      <w:r w:rsidR="0049260F" w:rsidRPr="007C780E">
        <w:t>dans l’objectif</w:t>
      </w:r>
      <w:r w:rsidR="009E3CDF" w:rsidRPr="007C780E">
        <w:t xml:space="preserve"> </w:t>
      </w:r>
      <w:r w:rsidR="0049260F" w:rsidRPr="007C780E">
        <w:t>de comprendre les démarches et techniques du</w:t>
      </w:r>
      <w:r w:rsidR="00D02AA3" w:rsidRPr="007C780E">
        <w:t xml:space="preserve"> diagnostic de santé.</w:t>
      </w:r>
      <w:r w:rsidR="00491064" w:rsidRPr="007C780E">
        <w:t xml:space="preserve"> V</w:t>
      </w:r>
      <w:r w:rsidR="009E3CDF" w:rsidRPr="007C780E">
        <w:t>isant à mieux connaître la composition de la matière, l’imagerie médicale s’appuie sur les applications à l’échographie, la radiographie, l’IRM ou la scintigraphie qui peuvent être associé</w:t>
      </w:r>
      <w:r w:rsidR="008055D6" w:rsidRPr="007C780E">
        <w:t>e</w:t>
      </w:r>
      <w:r w:rsidR="009E3CDF" w:rsidRPr="007C780E">
        <w:t xml:space="preserve">s à la tomodensitométrie </w:t>
      </w:r>
      <w:r w:rsidR="00EF7BDB" w:rsidRPr="007C780E">
        <w:t xml:space="preserve">(scanner) ou à la tomographie, </w:t>
      </w:r>
      <w:r w:rsidR="009E3CDF" w:rsidRPr="007C780E">
        <w:t>sans exclure d’autres possibilités. À cet égard</w:t>
      </w:r>
      <w:r w:rsidR="000E7B30" w:rsidRPr="007C780E">
        <w:t>,</w:t>
      </w:r>
      <w:r w:rsidR="009E3CDF" w:rsidRPr="007C780E">
        <w:t xml:space="preserve"> les développements calculatoires à propos de l’effet Doppler </w:t>
      </w:r>
      <w:r w:rsidRPr="007C780E">
        <w:t xml:space="preserve">restent </w:t>
      </w:r>
      <w:r w:rsidR="009E3CDF" w:rsidRPr="007C780E">
        <w:t xml:space="preserve">modestes. Par ailleurs, l’analyse chimique </w:t>
      </w:r>
      <w:r w:rsidR="00F60C40" w:rsidRPr="007C780E">
        <w:t xml:space="preserve">effectuée pour contrôler </w:t>
      </w:r>
      <w:r w:rsidR="009E3CDF" w:rsidRPr="007C780E">
        <w:t xml:space="preserve">la composition des milieux biologiques en vue d’exprimer un diagnostic et de proposer un traitement </w:t>
      </w:r>
      <w:r w:rsidR="00F60C40" w:rsidRPr="007C780E">
        <w:t xml:space="preserve">trouve </w:t>
      </w:r>
      <w:r w:rsidR="009E3CDF" w:rsidRPr="007C780E">
        <w:t xml:space="preserve">ses applications dans le domaine de l’analyse sanguine mais </w:t>
      </w:r>
      <w:r w:rsidR="00883E32" w:rsidRPr="007C780E">
        <w:t>aussi</w:t>
      </w:r>
      <w:r w:rsidR="009E3CDF" w:rsidRPr="007C780E">
        <w:t xml:space="preserve">, sans exhaustivité, de l’urine, de la salive, etc. La traçabilité, la durée de vie d’une substance toxique ou l’élimination d’un produit de contraste peuvent mobiliser sans formalisme complexe des notions de cinétique chimique. La technique de spectrophotométrie est présentée sans développement excessif, en vue de réaliser une activité expérimentale. La notion de radioactivité est présentée dans le but de distinguer les types d’émissions de particules et de rayonnements rencontrés en médecine nucléaire et de sensibiliser à ses fonctions diagnostiques, notamment à travers le recours à la scintigraphie ou à la tomographie par émission de positons (TEP). L’écriture d’une équation de désintégration </w:t>
      </w:r>
      <w:r w:rsidR="00F60B74" w:rsidRPr="007C780E">
        <w:t>radioactive n’est pas exigible</w:t>
      </w:r>
      <w:r w:rsidR="001C1DC7" w:rsidRPr="007C780E">
        <w:t> :</w:t>
      </w:r>
      <w:r w:rsidR="009E3CDF" w:rsidRPr="007C780E">
        <w:t xml:space="preserve"> seules sont attendues la connaissance des émissions et la capacité d’identifier ces émissions à partir d’une équation de désintégration fournie. Cette partie se prête à illustration par des exemples tels que </w:t>
      </w:r>
      <w:r w:rsidR="009E3CDF" w:rsidRPr="007C780E">
        <w:rPr>
          <w:vertAlign w:val="superscript"/>
        </w:rPr>
        <w:t>99</w:t>
      </w:r>
      <w:r w:rsidR="009151F9">
        <w:rPr>
          <w:vertAlign w:val="superscript"/>
        </w:rPr>
        <w:t>m</w:t>
      </w:r>
      <w:r w:rsidR="009E3CDF" w:rsidRPr="007C780E">
        <w:t xml:space="preserve">Tc, </w:t>
      </w:r>
      <w:r w:rsidR="009E3CDF" w:rsidRPr="007C780E">
        <w:rPr>
          <w:vertAlign w:val="superscript"/>
        </w:rPr>
        <w:t>123</w:t>
      </w:r>
      <w:r w:rsidR="009E3CDF" w:rsidRPr="007C780E">
        <w:t xml:space="preserve">I, </w:t>
      </w:r>
      <w:r w:rsidR="009E3CDF" w:rsidRPr="007C780E">
        <w:rPr>
          <w:vertAlign w:val="superscript"/>
        </w:rPr>
        <w:t>67</w:t>
      </w:r>
      <w:r w:rsidR="009E3CDF" w:rsidRPr="007C780E">
        <w:t xml:space="preserve">Ga, </w:t>
      </w:r>
      <w:r w:rsidR="009E3CDF" w:rsidRPr="007C780E">
        <w:rPr>
          <w:vertAlign w:val="superscript"/>
        </w:rPr>
        <w:t>201</w:t>
      </w:r>
      <w:r w:rsidR="009E3CDF" w:rsidRPr="007C780E">
        <w:t xml:space="preserve">Tl, </w:t>
      </w:r>
      <w:r w:rsidR="009E3CDF" w:rsidRPr="007C780E">
        <w:rPr>
          <w:vertAlign w:val="superscript"/>
        </w:rPr>
        <w:t>18</w:t>
      </w:r>
      <w:r w:rsidR="009E3CDF" w:rsidRPr="007C780E">
        <w:t xml:space="preserve">F, </w:t>
      </w:r>
      <w:r w:rsidR="009E3CDF" w:rsidRPr="007C780E">
        <w:rPr>
          <w:vertAlign w:val="superscript"/>
        </w:rPr>
        <w:t>153</w:t>
      </w:r>
      <w:r w:rsidR="009E3CDF" w:rsidRPr="007C780E">
        <w:t xml:space="preserve">Sm, </w:t>
      </w:r>
      <w:r w:rsidR="009E3CDF" w:rsidRPr="007C780E">
        <w:rPr>
          <w:vertAlign w:val="superscript"/>
        </w:rPr>
        <w:t>90</w:t>
      </w:r>
      <w:r w:rsidR="009E3CDF" w:rsidRPr="007C780E">
        <w:t xml:space="preserve">Y, dont on peut citer la spécificité </w:t>
      </w:r>
      <w:r w:rsidR="00F60B74" w:rsidRPr="007C780E">
        <w:t>selon</w:t>
      </w:r>
      <w:r w:rsidR="009E3CDF" w:rsidRPr="007C780E">
        <w:t xml:space="preserve"> les organes étudiés. La dose et l’activité par unité de masse corporelle ne doivent pas donner lieu à des </w:t>
      </w:r>
      <w:r w:rsidR="009E3CDF" w:rsidRPr="007C780E">
        <w:lastRenderedPageBreak/>
        <w:t xml:space="preserve">développements calculatoires mais à des commentaires critiques, par exemple au sujet de la comparaison </w:t>
      </w:r>
      <w:r w:rsidR="0044794F" w:rsidRPr="007C780E">
        <w:t>de</w:t>
      </w:r>
      <w:r w:rsidR="009E3CDF" w:rsidRPr="007C780E">
        <w:t xml:space="preserve"> normes, ou à une mise en perspective des aspects thérapeutiques en radiothérapie à côté des aspects diagnostiques.</w:t>
      </w:r>
    </w:p>
    <w:p w:rsidR="001C1DC7" w:rsidRPr="007C780E" w:rsidRDefault="00F60B74" w:rsidP="00BA644F">
      <w:r w:rsidRPr="007C780E">
        <w:t xml:space="preserve">L’étude du </w:t>
      </w:r>
      <w:r w:rsidR="009E3CDF" w:rsidRPr="007C780E">
        <w:t>thème 2 élargit la démarc</w:t>
      </w:r>
      <w:r w:rsidR="00B3089E" w:rsidRPr="007C780E">
        <w:t>he d’analyse à d’autres milieux</w:t>
      </w:r>
      <w:r w:rsidR="001C1DC7" w:rsidRPr="007C780E">
        <w:t> :</w:t>
      </w:r>
      <w:r w:rsidR="00B3089E" w:rsidRPr="007C780E">
        <w:t xml:space="preserve"> l’objectif est de pouvoir </w:t>
      </w:r>
      <w:r w:rsidR="009E3CDF" w:rsidRPr="007C780E">
        <w:t xml:space="preserve">établir des diagnostics diversifiés en fonction des milieux naturels, par exemple sur l’acidité de certaines pluies et sur l’acidification des océans, </w:t>
      </w:r>
      <w:r w:rsidRPr="007C780E">
        <w:t xml:space="preserve">qui conditionnent </w:t>
      </w:r>
      <w:r w:rsidR="009E3CDF" w:rsidRPr="007C780E">
        <w:t xml:space="preserve">la santé de la faune et de la flore dans ces milieux. L’interprétation de ces phénomènes prend appui sur </w:t>
      </w:r>
      <w:r w:rsidR="0044794F" w:rsidRPr="007C780E">
        <w:t xml:space="preserve">l’observation de </w:t>
      </w:r>
      <w:r w:rsidR="009E3CDF" w:rsidRPr="007C780E">
        <w:t>la réactivité chimique, notamment dans le domaine de l’</w:t>
      </w:r>
      <w:proofErr w:type="spellStart"/>
      <w:r w:rsidR="009E3CDF" w:rsidRPr="007C780E">
        <w:t>acido</w:t>
      </w:r>
      <w:proofErr w:type="spellEnd"/>
      <w:r w:rsidR="009E3CDF" w:rsidRPr="007C780E">
        <w:t>-basicit</w:t>
      </w:r>
      <w:r w:rsidR="000E7B30" w:rsidRPr="007C780E">
        <w:t>é déjà rencontrée en classe de p</w:t>
      </w:r>
      <w:r w:rsidR="009E3CDF" w:rsidRPr="007C780E">
        <w:t>remière.</w:t>
      </w:r>
    </w:p>
    <w:p w:rsidR="001C1DC7" w:rsidRPr="007C780E" w:rsidRDefault="009E3CDF" w:rsidP="00F17EA6">
      <w:pPr>
        <w:pStyle w:val="Titre4tableau"/>
        <w:rPr>
          <w:lang w:eastAsia="fr-FR"/>
        </w:rPr>
      </w:pPr>
      <w:r w:rsidRPr="007C780E">
        <w:rPr>
          <w:lang w:eastAsia="fr-FR"/>
        </w:rPr>
        <w:t>Perspectives</w:t>
      </w:r>
    </w:p>
    <w:p w:rsidR="001C1DC7" w:rsidRPr="007C780E" w:rsidRDefault="009E3CDF" w:rsidP="00BA644F">
      <w:r w:rsidRPr="007C780E">
        <w:t xml:space="preserve">Le défi scientifique porté par le thème 2 est fortement dépendant des résultats de la recherche scientifique, dont les liens avec l’enseignement peuvent être </w:t>
      </w:r>
      <w:r w:rsidR="006D21A9" w:rsidRPr="007C780E">
        <w:t xml:space="preserve">aisément </w:t>
      </w:r>
      <w:r w:rsidR="00883E32" w:rsidRPr="007C780E">
        <w:t>tissés.</w:t>
      </w:r>
      <w:r w:rsidR="003B4B6C" w:rsidRPr="007C780E">
        <w:t xml:space="preserve"> </w:t>
      </w:r>
      <w:r w:rsidR="006D21A9" w:rsidRPr="007C780E">
        <w:t>L</w:t>
      </w:r>
      <w:r w:rsidRPr="007C780E">
        <w:t>a recherche ouvre</w:t>
      </w:r>
      <w:r w:rsidR="006D21A9" w:rsidRPr="007C780E">
        <w:t xml:space="preserve"> en effet </w:t>
      </w:r>
      <w:r w:rsidRPr="007C780E">
        <w:t xml:space="preserve">la perspective d’une imagerie médicale plus performante </w:t>
      </w:r>
      <w:r w:rsidR="00BF33BA" w:rsidRPr="007C780E">
        <w:t>et</w:t>
      </w:r>
      <w:r w:rsidRPr="007C780E">
        <w:t xml:space="preserve"> </w:t>
      </w:r>
      <w:r w:rsidR="00BF33BA" w:rsidRPr="007C780E">
        <w:t>plus</w:t>
      </w:r>
      <w:r w:rsidR="003B4B6C" w:rsidRPr="007C780E">
        <w:t xml:space="preserve"> </w:t>
      </w:r>
      <w:r w:rsidR="00BF33BA" w:rsidRPr="007C780E">
        <w:t>sûre</w:t>
      </w:r>
      <w:r w:rsidRPr="007C780E">
        <w:t>, permet d’améliorer les techniques d’analyse pour une meilleure traçabilité des substances chimiques</w:t>
      </w:r>
      <w:r w:rsidR="00FC338B" w:rsidRPr="007C780E">
        <w:t>. Elle</w:t>
      </w:r>
      <w:r w:rsidRPr="007C780E">
        <w:t xml:space="preserve"> rend de plus en plus explicite la relation causale entre contamination chimique et effet biologique, quantifie de plus en plus finement l’acceptabilité du risque</w:t>
      </w:r>
      <w:r w:rsidR="003B4B6C" w:rsidRPr="007C780E">
        <w:t xml:space="preserve"> </w:t>
      </w:r>
      <w:r w:rsidR="00FC338B" w:rsidRPr="007C780E">
        <w:t>et</w:t>
      </w:r>
      <w:r w:rsidRPr="007C780E">
        <w:t xml:space="preserve"> développe la connaissance des effets temporels d’accumulation et d’élimination.</w:t>
      </w:r>
    </w:p>
    <w:p w:rsidR="001C1DC7" w:rsidRPr="007C780E" w:rsidRDefault="009E3CDF" w:rsidP="00BA644F">
      <w:r w:rsidRPr="007C780E">
        <w:t>Des exemples peuvent illustrer ces aspects prospectifs, sans développement excessif ni exhaustivité</w:t>
      </w:r>
      <w:r w:rsidR="00191927" w:rsidRPr="007C780E">
        <w:t xml:space="preserve">. </w:t>
      </w:r>
      <w:r w:rsidR="00BF33BA" w:rsidRPr="007C780E">
        <w:t>Ainsi peuvent être évoqués certains aspects environnementaux liés à la dissolution des coques calcaires de certains animaux marins ou aux rejets d’hormones dans les eaux</w:t>
      </w:r>
      <w:r w:rsidR="001C1DC7" w:rsidRPr="007C780E">
        <w:t> :</w:t>
      </w:r>
      <w:r w:rsidR="00BF33BA" w:rsidRPr="007C780E">
        <w:t xml:space="preserve"> ces problèmes peuvent trouver leurs solutions dans les avancées de la recherche.</w:t>
      </w:r>
    </w:p>
    <w:p w:rsidR="001C1DC7" w:rsidRPr="007C780E" w:rsidRDefault="009E3CDF" w:rsidP="001200C9">
      <w:pPr>
        <w:pStyle w:val="Titre4"/>
      </w:pPr>
      <w:bookmarkStart w:id="35" w:name="_Toc8396278"/>
      <w:bookmarkStart w:id="36" w:name="_Toc8815403"/>
      <w:r w:rsidRPr="007C780E">
        <w:t>T</w:t>
      </w:r>
      <w:r w:rsidR="000E7B30" w:rsidRPr="007C780E">
        <w:t>hème 3</w:t>
      </w:r>
      <w:r w:rsidR="001C1DC7" w:rsidRPr="007C780E">
        <w:t> :</w:t>
      </w:r>
      <w:r w:rsidR="000E7B30" w:rsidRPr="007C780E">
        <w:t xml:space="preserve"> Faire des choix autonomes et responsables</w:t>
      </w:r>
      <w:bookmarkEnd w:id="35"/>
      <w:bookmarkEnd w:id="36"/>
    </w:p>
    <w:p w:rsidR="001C1DC7" w:rsidRPr="007C780E" w:rsidRDefault="009E3CDF" w:rsidP="00BA644F">
      <w:r w:rsidRPr="007C780E">
        <w:t>Le thème 3 met l’accent sur la démarche du citoyen</w:t>
      </w:r>
      <w:r w:rsidR="00C605F4" w:rsidRPr="007C780E">
        <w:t xml:space="preserve">, </w:t>
      </w:r>
      <w:r w:rsidR="00BA3AFE" w:rsidRPr="007C780E">
        <w:t>notamment sur les choix éclairés qu’il fait dans sa consommation pour préserver sa santé</w:t>
      </w:r>
      <w:r w:rsidRPr="007C780E">
        <w:t>. Les situations</w:t>
      </w:r>
      <w:r w:rsidR="00BA3AFE" w:rsidRPr="007C780E">
        <w:t>, choisie</w:t>
      </w:r>
      <w:r w:rsidR="00C605F4" w:rsidRPr="007C780E">
        <w:t xml:space="preserve">s </w:t>
      </w:r>
      <w:r w:rsidR="00BB6390" w:rsidRPr="007C780E">
        <w:t>de manière opportune</w:t>
      </w:r>
      <w:r w:rsidR="00BA3AFE" w:rsidRPr="007C780E">
        <w:t>,</w:t>
      </w:r>
      <w:r w:rsidRPr="007C780E">
        <w:t xml:space="preserve"> </w:t>
      </w:r>
      <w:r w:rsidR="00BA3AFE" w:rsidRPr="007C780E">
        <w:t xml:space="preserve">relient </w:t>
      </w:r>
      <w:r w:rsidRPr="007C780E">
        <w:t xml:space="preserve">la connaissance scientifique à la réflexion du consommateur. L’objectif est de donner une culture générale scientifique </w:t>
      </w:r>
      <w:r w:rsidR="00FC338B" w:rsidRPr="007C780E">
        <w:t>et de susciter</w:t>
      </w:r>
      <w:r w:rsidRPr="007C780E">
        <w:t xml:space="preserve"> l’esprit critique, l’autonomie et la responsabilisation.</w:t>
      </w:r>
    </w:p>
    <w:p w:rsidR="009E3CDF" w:rsidRPr="007C780E" w:rsidRDefault="009E3CDF" w:rsidP="007C780E">
      <w:pPr>
        <w:pStyle w:val="Titre5"/>
        <w:spacing w:after="120"/>
        <w:rPr>
          <w:rFonts w:eastAsia="Calibri"/>
          <w:bCs/>
          <w:lang w:eastAsia="fr-FR"/>
        </w:rPr>
      </w:pPr>
      <w:bookmarkStart w:id="37" w:name="_Toc8396279"/>
      <w:bookmarkStart w:id="38" w:name="_Toc8815404"/>
      <w:bookmarkStart w:id="39" w:name="_Toc8816195"/>
      <w:r w:rsidRPr="007C780E">
        <w:rPr>
          <w:rFonts w:eastAsia="Calibri"/>
          <w:lang w:eastAsia="fr-FR"/>
        </w:rPr>
        <w:t>Le rôle des biomolécules et des oligoéléments dans l’organisme pour une alimentation responsable</w:t>
      </w:r>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2"/>
        <w:gridCol w:w="6266"/>
      </w:tblGrid>
      <w:tr w:rsidR="009E3CDF" w:rsidRPr="005D34A0" w:rsidTr="005D34A0">
        <w:trPr>
          <w:trHeight w:val="20"/>
        </w:trPr>
        <w:tc>
          <w:tcPr>
            <w:tcW w:w="2977" w:type="dxa"/>
            <w:shd w:val="clear" w:color="auto" w:fill="auto"/>
            <w:vAlign w:val="center"/>
          </w:tcPr>
          <w:p w:rsidR="009E3CDF" w:rsidRPr="005D34A0" w:rsidRDefault="009E3CDF" w:rsidP="005D34A0">
            <w:pPr>
              <w:pStyle w:val="Titre5tableau"/>
            </w:pPr>
            <w:r w:rsidRPr="005D34A0">
              <w:t>Notions et contenus</w:t>
            </w:r>
          </w:p>
        </w:tc>
        <w:tc>
          <w:tcPr>
            <w:tcW w:w="6521" w:type="dxa"/>
            <w:shd w:val="clear" w:color="auto" w:fill="auto"/>
            <w:vAlign w:val="center"/>
          </w:tcPr>
          <w:p w:rsidR="009E3CDF" w:rsidRPr="005D34A0" w:rsidRDefault="009E3CDF" w:rsidP="005D34A0">
            <w:pPr>
              <w:pStyle w:val="Titre5tableau"/>
            </w:pPr>
            <w:r w:rsidRPr="005D34A0">
              <w:t>Connaissances et capacités exigibles</w:t>
            </w:r>
          </w:p>
          <w:p w:rsidR="009E3CDF" w:rsidRPr="005D34A0" w:rsidRDefault="009E3CDF" w:rsidP="005D34A0">
            <w:pPr>
              <w:pStyle w:val="Titre5tableau"/>
            </w:pPr>
            <w:r w:rsidRPr="005D34A0">
              <w:rPr>
                <w:rFonts w:eastAsia="Times"/>
                <w:i/>
              </w:rPr>
              <w:t>Activités expérimentales support de la formation</w:t>
            </w:r>
          </w:p>
        </w:tc>
      </w:tr>
      <w:tr w:rsidR="009E3CDF" w:rsidRPr="005D34A0" w:rsidTr="005D34A0">
        <w:trPr>
          <w:trHeight w:val="20"/>
        </w:trPr>
        <w:tc>
          <w:tcPr>
            <w:tcW w:w="9498" w:type="dxa"/>
            <w:gridSpan w:val="2"/>
            <w:shd w:val="clear" w:color="auto" w:fill="auto"/>
          </w:tcPr>
          <w:p w:rsidR="009E3CDF" w:rsidRPr="005D34A0" w:rsidRDefault="009E3CDF" w:rsidP="005D34A0">
            <w:pPr>
              <w:pStyle w:val="Titre4tableau"/>
            </w:pPr>
            <w:r w:rsidRPr="005D34A0">
              <w:t>Comment la structure chimique des protéines détermine-t-elle leur action</w:t>
            </w:r>
            <w:r w:rsidR="001C1DC7" w:rsidRPr="005D34A0">
              <w:t> ?</w:t>
            </w:r>
          </w:p>
        </w:tc>
      </w:tr>
      <w:tr w:rsidR="009E3CDF" w:rsidRPr="005D34A0" w:rsidTr="005D34A0">
        <w:trPr>
          <w:trHeight w:val="20"/>
        </w:trPr>
        <w:tc>
          <w:tcPr>
            <w:tcW w:w="2977" w:type="dxa"/>
            <w:shd w:val="clear" w:color="auto" w:fill="auto"/>
          </w:tcPr>
          <w:p w:rsidR="009E3CDF" w:rsidRPr="005D34A0" w:rsidRDefault="009E3CDF" w:rsidP="005D34A0">
            <w:pPr>
              <w:pStyle w:val="Contenudetableau"/>
            </w:pPr>
            <w:r w:rsidRPr="005D34A0">
              <w:t>Structure et stéréochimie des acides aminés</w:t>
            </w:r>
            <w:r w:rsidR="000E7B30" w:rsidRPr="005D34A0">
              <w:t>.</w:t>
            </w:r>
          </w:p>
          <w:p w:rsidR="009E3CDF" w:rsidRPr="005D34A0" w:rsidRDefault="009E3CDF" w:rsidP="005D34A0">
            <w:pPr>
              <w:pStyle w:val="Contenudetableau"/>
            </w:pPr>
            <w:r w:rsidRPr="005D34A0">
              <w:t>Carbone asymétrique</w:t>
            </w:r>
            <w:r w:rsidR="000E7B30" w:rsidRPr="005D34A0">
              <w:t>.</w:t>
            </w:r>
          </w:p>
          <w:p w:rsidR="009E3CDF" w:rsidRPr="005D34A0" w:rsidRDefault="009E3CDF" w:rsidP="005D34A0">
            <w:pPr>
              <w:pStyle w:val="Contenudetableau"/>
            </w:pPr>
            <w:r w:rsidRPr="005D34A0">
              <w:t>Représentation spatiale</w:t>
            </w:r>
            <w:r w:rsidR="000E7B30" w:rsidRPr="005D34A0">
              <w:t>.</w:t>
            </w:r>
          </w:p>
          <w:p w:rsidR="009151F9" w:rsidRDefault="009E3CDF" w:rsidP="005D34A0">
            <w:pPr>
              <w:pStyle w:val="Contenudetableau"/>
            </w:pPr>
            <w:r w:rsidRPr="005D34A0">
              <w:t xml:space="preserve">Chiralité, </w:t>
            </w:r>
            <w:proofErr w:type="spellStart"/>
            <w:r w:rsidRPr="005D34A0">
              <w:t>énantiomérie</w:t>
            </w:r>
            <w:proofErr w:type="spellEnd"/>
            <w:r w:rsidR="000E7B30" w:rsidRPr="005D34A0">
              <w:t>.</w:t>
            </w:r>
            <w:r w:rsidR="009151F9">
              <w:br/>
            </w:r>
            <w:r w:rsidR="009151F9">
              <w:br/>
            </w:r>
          </w:p>
          <w:p w:rsidR="001C1DC7" w:rsidRPr="005D34A0" w:rsidRDefault="009151F9" w:rsidP="005D34A0">
            <w:pPr>
              <w:pStyle w:val="Contenudetableau"/>
            </w:pPr>
            <w:r>
              <w:br/>
            </w:r>
          </w:p>
          <w:p w:rsidR="001C1DC7" w:rsidRDefault="009E3CDF" w:rsidP="005D34A0">
            <w:pPr>
              <w:pStyle w:val="Contenudetableau"/>
            </w:pPr>
            <w:r w:rsidRPr="005D34A0">
              <w:t>Peptides et liaison peptidique</w:t>
            </w:r>
            <w:r w:rsidR="000E7B30" w:rsidRPr="005D34A0">
              <w:t>.</w:t>
            </w:r>
            <w:r w:rsidR="009151F9">
              <w:br/>
            </w:r>
          </w:p>
          <w:p w:rsidR="009151F9" w:rsidRPr="005D34A0" w:rsidRDefault="009151F9" w:rsidP="005D34A0">
            <w:pPr>
              <w:pStyle w:val="Contenudetableau"/>
            </w:pPr>
            <w:r>
              <w:br/>
            </w:r>
          </w:p>
          <w:p w:rsidR="009E3CDF" w:rsidRPr="005D34A0" w:rsidRDefault="009E3CDF" w:rsidP="005D34A0">
            <w:pPr>
              <w:pStyle w:val="Contenudetableau"/>
            </w:pPr>
            <w:r w:rsidRPr="005D34A0">
              <w:lastRenderedPageBreak/>
              <w:t>Structure tridimensionnelle des protéines</w:t>
            </w:r>
            <w:r w:rsidR="000E7B30" w:rsidRPr="005D34A0">
              <w:t>.</w:t>
            </w:r>
          </w:p>
        </w:tc>
        <w:tc>
          <w:tcPr>
            <w:tcW w:w="6521" w:type="dxa"/>
            <w:shd w:val="clear" w:color="auto" w:fill="auto"/>
          </w:tcPr>
          <w:p w:rsidR="009E3CDF" w:rsidRPr="005D34A0" w:rsidRDefault="009E3CDF" w:rsidP="005D34A0">
            <w:pPr>
              <w:pStyle w:val="Contenudetableau"/>
            </w:pPr>
            <w:r w:rsidRPr="005D34A0">
              <w:lastRenderedPageBreak/>
              <w:t>Définir un acide α-aminé.</w:t>
            </w:r>
          </w:p>
          <w:p w:rsidR="009E3CDF" w:rsidRPr="005D34A0" w:rsidRDefault="009E3CDF" w:rsidP="005D34A0">
            <w:pPr>
              <w:pStyle w:val="Contenudetableau"/>
            </w:pPr>
            <w:r w:rsidRPr="005D34A0">
              <w:t>Reconnaître quelques groupes caractéristiques dans les formules de certains acides aminés.</w:t>
            </w:r>
          </w:p>
          <w:p w:rsidR="009E3CDF" w:rsidRPr="005D34A0" w:rsidRDefault="009E3CDF" w:rsidP="005D34A0">
            <w:pPr>
              <w:pStyle w:val="Contenudetableau"/>
            </w:pPr>
            <w:r w:rsidRPr="005D34A0">
              <w:t>Définir un atome de carbone asymétrique, savoir le repérer dans une molécule.</w:t>
            </w:r>
          </w:p>
          <w:p w:rsidR="009E3CDF" w:rsidRPr="005D34A0" w:rsidRDefault="009E3CDF" w:rsidP="005D34A0">
            <w:pPr>
              <w:pStyle w:val="Contenudetableau"/>
              <w:rPr>
                <w:i/>
              </w:rPr>
            </w:pPr>
            <w:r w:rsidRPr="005D34A0">
              <w:rPr>
                <w:i/>
              </w:rPr>
              <w:t>Utiliser des modèles moléculaires ou un logiciel de simulation.</w:t>
            </w:r>
          </w:p>
          <w:p w:rsidR="009E3CDF" w:rsidRPr="005D34A0" w:rsidRDefault="009E3CDF" w:rsidP="005D34A0">
            <w:pPr>
              <w:pStyle w:val="Contenudetableau"/>
            </w:pPr>
            <w:r w:rsidRPr="005D34A0">
              <w:t xml:space="preserve">Énoncer la propriété de chiralité. Identifier deux énantiomères à l’aide des représentations de </w:t>
            </w:r>
            <w:proofErr w:type="spellStart"/>
            <w:r w:rsidRPr="005D34A0">
              <w:t>Cram</w:t>
            </w:r>
            <w:proofErr w:type="spellEnd"/>
            <w:r w:rsidRPr="005D34A0">
              <w:t xml:space="preserve"> et de Fischer. Connaître la nomenclature D et L d’un acide </w:t>
            </w:r>
            <w:r w:rsidR="005D34A0">
              <w:rPr>
                <w:rFonts w:ascii="Symbol" w:hAnsi="Symbol"/>
              </w:rPr>
              <w:t></w:t>
            </w:r>
            <w:r w:rsidRPr="005D34A0">
              <w:t>-aminé.</w:t>
            </w:r>
          </w:p>
          <w:p w:rsidR="009E3CDF" w:rsidRPr="005D34A0" w:rsidRDefault="009E3CDF" w:rsidP="005D34A0">
            <w:pPr>
              <w:pStyle w:val="Contenudetableau"/>
              <w:rPr>
                <w:i/>
              </w:rPr>
            </w:pPr>
            <w:r w:rsidRPr="005D34A0">
              <w:t xml:space="preserve">Écrire l’équation de la réaction de condensation entre deux acides </w:t>
            </w:r>
            <w:r w:rsidRPr="005D34A0">
              <w:sym w:font="Symbol" w:char="F061"/>
            </w:r>
            <w:r w:rsidRPr="005D34A0">
              <w:t>-aminés et donner le nom des dipeptides susceptibles de se former.</w:t>
            </w:r>
            <w:r w:rsidRPr="005D34A0">
              <w:rPr>
                <w:i/>
              </w:rPr>
              <w:t xml:space="preserve"> </w:t>
            </w:r>
            <w:r w:rsidRPr="005D34A0">
              <w:t>Repérer la liaison peptidique.</w:t>
            </w:r>
          </w:p>
          <w:p w:rsidR="001C1DC7" w:rsidRPr="005D34A0" w:rsidRDefault="009E3CDF" w:rsidP="005D34A0">
            <w:pPr>
              <w:pStyle w:val="Contenudetableau"/>
            </w:pPr>
            <w:r w:rsidRPr="005D34A0">
              <w:t>Retrouver les formules des acides aminés constituant un peptide.</w:t>
            </w:r>
          </w:p>
          <w:p w:rsidR="009E3CDF" w:rsidRPr="005D34A0" w:rsidRDefault="009E3CDF" w:rsidP="005D34A0">
            <w:pPr>
              <w:pStyle w:val="Contenudetableau"/>
              <w:rPr>
                <w:i/>
              </w:rPr>
            </w:pPr>
            <w:r w:rsidRPr="005D34A0">
              <w:lastRenderedPageBreak/>
              <w:t>Exploiter des documents sur le lien entre structure tridimensionnelle et action des protéines dans l’organisme.</w:t>
            </w:r>
          </w:p>
        </w:tc>
      </w:tr>
      <w:tr w:rsidR="009E3CDF" w:rsidRPr="005D34A0" w:rsidTr="005D34A0">
        <w:trPr>
          <w:trHeight w:val="20"/>
        </w:trPr>
        <w:tc>
          <w:tcPr>
            <w:tcW w:w="9498" w:type="dxa"/>
            <w:gridSpan w:val="2"/>
            <w:shd w:val="clear" w:color="auto" w:fill="auto"/>
          </w:tcPr>
          <w:p w:rsidR="009E3CDF" w:rsidRPr="005D34A0" w:rsidRDefault="009E3CDF" w:rsidP="005D34A0">
            <w:pPr>
              <w:pStyle w:val="Titre4tableau"/>
            </w:pPr>
            <w:r w:rsidRPr="005D34A0">
              <w:lastRenderedPageBreak/>
              <w:t>Comment la structure des lipides influe-t-elle sur la santé</w:t>
            </w:r>
            <w:r w:rsidR="001C1DC7" w:rsidRPr="005D34A0">
              <w:t> ?</w:t>
            </w:r>
          </w:p>
        </w:tc>
      </w:tr>
      <w:tr w:rsidR="009E3CDF" w:rsidRPr="005D34A0" w:rsidTr="005D34A0">
        <w:trPr>
          <w:trHeight w:val="20"/>
        </w:trPr>
        <w:tc>
          <w:tcPr>
            <w:tcW w:w="2977" w:type="dxa"/>
            <w:shd w:val="clear" w:color="auto" w:fill="auto"/>
          </w:tcPr>
          <w:p w:rsidR="009E3CDF" w:rsidRPr="005D34A0" w:rsidRDefault="009E3CDF" w:rsidP="005D34A0">
            <w:pPr>
              <w:pStyle w:val="Contenudetableau"/>
            </w:pPr>
            <w:r w:rsidRPr="005D34A0">
              <w:t>Structure d’un acide gras. Triglycérides</w:t>
            </w:r>
            <w:r w:rsidR="000E7B30" w:rsidRPr="005D34A0">
              <w:t>.</w:t>
            </w:r>
          </w:p>
          <w:p w:rsidR="001C1DC7" w:rsidRDefault="009E3CDF" w:rsidP="005D34A0">
            <w:pPr>
              <w:pStyle w:val="Contenudetableau"/>
            </w:pPr>
            <w:r w:rsidRPr="005D34A0">
              <w:t>Hydrolyse et saponification des triglycérides</w:t>
            </w:r>
            <w:r w:rsidR="000E7B30" w:rsidRPr="005D34A0">
              <w:t>.</w:t>
            </w:r>
            <w:r w:rsidR="009151F9">
              <w:br/>
            </w:r>
          </w:p>
          <w:p w:rsidR="009151F9" w:rsidRDefault="009151F9" w:rsidP="005D34A0">
            <w:pPr>
              <w:pStyle w:val="Contenudetableau"/>
            </w:pPr>
            <w:r>
              <w:br/>
            </w:r>
          </w:p>
          <w:p w:rsidR="009151F9" w:rsidRDefault="009151F9" w:rsidP="005D34A0">
            <w:pPr>
              <w:pStyle w:val="Contenudetableau"/>
            </w:pPr>
            <w:r>
              <w:br/>
            </w:r>
          </w:p>
          <w:p w:rsidR="009151F9" w:rsidRPr="005D34A0" w:rsidRDefault="009151F9" w:rsidP="005D34A0">
            <w:pPr>
              <w:pStyle w:val="Contenudetableau"/>
            </w:pPr>
          </w:p>
          <w:p w:rsidR="009E3CDF" w:rsidRPr="005D34A0" w:rsidRDefault="009E3CDF" w:rsidP="005D34A0">
            <w:pPr>
              <w:pStyle w:val="Contenudetableau"/>
            </w:pPr>
            <w:r w:rsidRPr="005D34A0">
              <w:t>Un exemple de stérol</w:t>
            </w:r>
            <w:r w:rsidR="001C1DC7" w:rsidRPr="005D34A0">
              <w:t> :</w:t>
            </w:r>
            <w:r w:rsidR="000E7B30" w:rsidRPr="005D34A0">
              <w:t xml:space="preserve"> le cholestérol.</w:t>
            </w:r>
          </w:p>
        </w:tc>
        <w:tc>
          <w:tcPr>
            <w:tcW w:w="6521" w:type="dxa"/>
            <w:shd w:val="clear" w:color="auto" w:fill="auto"/>
          </w:tcPr>
          <w:p w:rsidR="001C1DC7" w:rsidRPr="005D34A0" w:rsidRDefault="009E3CDF" w:rsidP="005D34A0">
            <w:pPr>
              <w:pStyle w:val="Contenudetableau"/>
            </w:pPr>
            <w:r w:rsidRPr="005D34A0">
              <w:t>Distinguer les acides gras saturés et insaturés.</w:t>
            </w:r>
          </w:p>
          <w:p w:rsidR="009E3CDF" w:rsidRPr="005D34A0" w:rsidRDefault="009E3CDF" w:rsidP="005D34A0">
            <w:pPr>
              <w:pStyle w:val="Contenudetableau"/>
            </w:pPr>
            <w:r w:rsidRPr="005D34A0">
              <w:t>Donner la définition d’un triglycéride. Écrire l’équation de la réaction d’hydrolyse et de saponification d’un triglycéride. Faire un bilan de matière. Calculer un rendement.</w:t>
            </w:r>
          </w:p>
          <w:p w:rsidR="001C1DC7" w:rsidRPr="005D34A0" w:rsidRDefault="009E3CDF" w:rsidP="005D34A0">
            <w:pPr>
              <w:pStyle w:val="Contenudetableau"/>
              <w:rPr>
                <w:i/>
              </w:rPr>
            </w:pPr>
            <w:r w:rsidRPr="005D34A0">
              <w:rPr>
                <w:i/>
              </w:rPr>
              <w:t>Mettre en œuvre un protocole de saponification d’un corps gras.</w:t>
            </w:r>
          </w:p>
          <w:p w:rsidR="009E3CDF" w:rsidRPr="005D34A0" w:rsidRDefault="009E3CDF" w:rsidP="005D34A0">
            <w:pPr>
              <w:pStyle w:val="Contenudetableau"/>
            </w:pPr>
            <w:r w:rsidRPr="005D34A0">
              <w:t>Extraire des informations sur les propriétés comparées de corps gras alimentaires telles que la dégradation à la chaleur.</w:t>
            </w:r>
          </w:p>
          <w:p w:rsidR="009E3CDF" w:rsidRPr="005D34A0" w:rsidRDefault="009E3CDF" w:rsidP="005D34A0">
            <w:pPr>
              <w:pStyle w:val="Contenudetableau"/>
            </w:pPr>
            <w:r w:rsidRPr="005D34A0">
              <w:t>Analyser les liens entre structure des acides gras et les effets sur la santé.</w:t>
            </w:r>
          </w:p>
          <w:p w:rsidR="009E3CDF" w:rsidRPr="005D34A0" w:rsidRDefault="009E3CDF" w:rsidP="005D34A0">
            <w:pPr>
              <w:pStyle w:val="Contenudetableau"/>
            </w:pPr>
            <w:r w:rsidRPr="005D34A0">
              <w:t>Analyser la structure du cholestérol et commenter ses propriétés de solubilité en lien avec son transport dans le corps.</w:t>
            </w:r>
          </w:p>
        </w:tc>
      </w:tr>
      <w:tr w:rsidR="009E3CDF" w:rsidRPr="005D34A0" w:rsidTr="005D34A0">
        <w:trPr>
          <w:trHeight w:val="20"/>
        </w:trPr>
        <w:tc>
          <w:tcPr>
            <w:tcW w:w="9498" w:type="dxa"/>
            <w:gridSpan w:val="2"/>
            <w:shd w:val="clear" w:color="auto" w:fill="auto"/>
          </w:tcPr>
          <w:p w:rsidR="009E3CDF" w:rsidRPr="005D34A0" w:rsidRDefault="009E3CDF" w:rsidP="005D34A0">
            <w:pPr>
              <w:pStyle w:val="Titre4tableau"/>
            </w:pPr>
            <w:r w:rsidRPr="005D34A0">
              <w:t>Quelles sont les doses de vitamines et d’oligoéléments nécessaires à l’être humain</w:t>
            </w:r>
            <w:r w:rsidR="001C1DC7" w:rsidRPr="005D34A0">
              <w:t> ?</w:t>
            </w:r>
          </w:p>
        </w:tc>
      </w:tr>
      <w:tr w:rsidR="009E3CDF" w:rsidRPr="005D34A0" w:rsidTr="005D34A0">
        <w:trPr>
          <w:cantSplit/>
          <w:trHeight w:val="20"/>
        </w:trPr>
        <w:tc>
          <w:tcPr>
            <w:tcW w:w="2977" w:type="dxa"/>
            <w:shd w:val="clear" w:color="auto" w:fill="auto"/>
          </w:tcPr>
          <w:p w:rsidR="009E3CDF" w:rsidRPr="005D34A0" w:rsidRDefault="009E3CDF" w:rsidP="005D34A0">
            <w:pPr>
              <w:pStyle w:val="Contenudetableau"/>
            </w:pPr>
            <w:r w:rsidRPr="005D34A0">
              <w:t>Eau, transporteur de nutriments</w:t>
            </w:r>
            <w:r w:rsidR="000E7B30" w:rsidRPr="005D34A0">
              <w:t>.</w:t>
            </w:r>
          </w:p>
          <w:p w:rsidR="009E3CDF" w:rsidRPr="005D34A0" w:rsidRDefault="009E3CDF" w:rsidP="009151F9">
            <w:pPr>
              <w:pStyle w:val="Contenudetableau"/>
            </w:pPr>
            <w:r w:rsidRPr="005D34A0">
              <w:t xml:space="preserve">Vitamines et </w:t>
            </w:r>
            <w:proofErr w:type="spellStart"/>
            <w:r w:rsidRPr="005D34A0">
              <w:t>oligoéléments</w:t>
            </w:r>
            <w:proofErr w:type="spellEnd"/>
            <w:r w:rsidR="000E7B30" w:rsidRPr="005D34A0">
              <w:t>.</w:t>
            </w:r>
          </w:p>
        </w:tc>
        <w:tc>
          <w:tcPr>
            <w:tcW w:w="6521" w:type="dxa"/>
            <w:shd w:val="clear" w:color="auto" w:fill="auto"/>
          </w:tcPr>
          <w:p w:rsidR="009E3CDF" w:rsidRPr="005D34A0" w:rsidRDefault="009E3CDF" w:rsidP="005D34A0">
            <w:pPr>
              <w:pStyle w:val="Contenudetableau"/>
              <w:rPr>
                <w:strike/>
              </w:rPr>
            </w:pPr>
            <w:r w:rsidRPr="005D34A0">
              <w:t>Comparer les structures moléculaires des vitamines A, C et D pour définir leurs propriétés liposolubles ou hydrosolubles.</w:t>
            </w:r>
          </w:p>
          <w:p w:rsidR="009E3CDF" w:rsidRPr="005D34A0" w:rsidRDefault="009E3CDF" w:rsidP="005D34A0">
            <w:pPr>
              <w:pStyle w:val="Contenudetableau"/>
            </w:pPr>
            <w:r w:rsidRPr="005D34A0">
              <w:t>Interpréter des informations relatives au déséquilibre ionique consécutif à une déshydratation.</w:t>
            </w:r>
          </w:p>
          <w:p w:rsidR="001C1DC7" w:rsidRPr="005D34A0" w:rsidRDefault="009E3CDF" w:rsidP="005D34A0">
            <w:pPr>
              <w:pStyle w:val="Contenudetableau"/>
            </w:pPr>
            <w:r w:rsidRPr="005D34A0">
              <w:t>Interpréter sommairement un ionogramme sanguin.</w:t>
            </w:r>
          </w:p>
          <w:p w:rsidR="009E3CDF" w:rsidRPr="005D34A0" w:rsidRDefault="009E3CDF" w:rsidP="005D34A0">
            <w:pPr>
              <w:pStyle w:val="Contenudetableau"/>
            </w:pPr>
            <w:r w:rsidRPr="005D34A0">
              <w:t>Relier le caractère liposoluble ou hydrosoluble d’une vitamine au besoin journalier.</w:t>
            </w:r>
          </w:p>
          <w:p w:rsidR="009E3CDF" w:rsidRPr="005D34A0" w:rsidRDefault="009E3CDF" w:rsidP="005D34A0">
            <w:pPr>
              <w:pStyle w:val="Contenudetableau"/>
              <w:rPr>
                <w:i/>
              </w:rPr>
            </w:pPr>
            <w:r w:rsidRPr="005D34A0">
              <w:rPr>
                <w:i/>
              </w:rPr>
              <w:t>Pratiquer une démarche expérimentale mettant en évidence la solubilité des vitamines.</w:t>
            </w:r>
          </w:p>
          <w:p w:rsidR="009E3CDF" w:rsidRPr="005D34A0" w:rsidRDefault="009E3CDF" w:rsidP="005D34A0">
            <w:pPr>
              <w:pStyle w:val="Contenudetableau"/>
            </w:pPr>
            <w:r w:rsidRPr="005D34A0">
              <w:rPr>
                <w:i/>
              </w:rPr>
              <w:t xml:space="preserve">Mettre en œuvre un dosage par titrage pour déterminer la teneur en vitamine C d’un aliment ou d’un médicament. </w:t>
            </w:r>
          </w:p>
        </w:tc>
      </w:tr>
      <w:tr w:rsidR="009E3CDF" w:rsidRPr="005D34A0" w:rsidTr="005D34A0">
        <w:trPr>
          <w:trHeight w:val="20"/>
        </w:trPr>
        <w:tc>
          <w:tcPr>
            <w:tcW w:w="9498" w:type="dxa"/>
            <w:gridSpan w:val="2"/>
            <w:shd w:val="clear" w:color="auto" w:fill="auto"/>
          </w:tcPr>
          <w:p w:rsidR="009E3CDF" w:rsidRPr="005D34A0" w:rsidRDefault="009E3CDF" w:rsidP="005D34A0">
            <w:pPr>
              <w:pStyle w:val="Titre4tableau"/>
            </w:pPr>
            <w:r w:rsidRPr="005D34A0">
              <w:t>Comment les additifs alimentaires influencent-ils les choix de consommation</w:t>
            </w:r>
            <w:r w:rsidR="001C1DC7" w:rsidRPr="005D34A0">
              <w:t> ?</w:t>
            </w:r>
          </w:p>
        </w:tc>
      </w:tr>
      <w:tr w:rsidR="009E3CDF" w:rsidRPr="005D34A0" w:rsidTr="005D34A0">
        <w:trPr>
          <w:trHeight w:val="20"/>
        </w:trPr>
        <w:tc>
          <w:tcPr>
            <w:tcW w:w="2977" w:type="dxa"/>
            <w:shd w:val="clear" w:color="auto" w:fill="auto"/>
          </w:tcPr>
          <w:p w:rsidR="001C1DC7" w:rsidRPr="005D34A0" w:rsidRDefault="009E3CDF" w:rsidP="005D34A0">
            <w:pPr>
              <w:pStyle w:val="Contenudetableau"/>
            </w:pPr>
            <w:r w:rsidRPr="005D34A0">
              <w:t>Colorants alimentaires</w:t>
            </w:r>
            <w:r w:rsidR="000E7B30" w:rsidRPr="005D34A0">
              <w:t>.</w:t>
            </w:r>
          </w:p>
          <w:p w:rsidR="001C1DC7" w:rsidRPr="005D34A0" w:rsidRDefault="009E3CDF" w:rsidP="005D34A0">
            <w:pPr>
              <w:pStyle w:val="Contenudetableau"/>
            </w:pPr>
            <w:r w:rsidRPr="005D34A0">
              <w:t>Texturants alimentaires</w:t>
            </w:r>
            <w:r w:rsidR="000E7B30" w:rsidRPr="005D34A0">
              <w:t>.</w:t>
            </w:r>
          </w:p>
          <w:p w:rsidR="009E3CDF" w:rsidRPr="005D34A0" w:rsidRDefault="009E3CDF" w:rsidP="005D34A0">
            <w:pPr>
              <w:pStyle w:val="Contenudetableau"/>
            </w:pPr>
            <w:r w:rsidRPr="005D34A0">
              <w:t>Arômes alimentaires</w:t>
            </w:r>
            <w:r w:rsidR="000E7B30" w:rsidRPr="005D34A0">
              <w:t>.</w:t>
            </w:r>
          </w:p>
        </w:tc>
        <w:tc>
          <w:tcPr>
            <w:tcW w:w="6521" w:type="dxa"/>
            <w:shd w:val="clear" w:color="auto" w:fill="auto"/>
          </w:tcPr>
          <w:p w:rsidR="001C1DC7" w:rsidRPr="005D34A0" w:rsidRDefault="009E3CDF" w:rsidP="005D34A0">
            <w:pPr>
              <w:pStyle w:val="Contenudetableau"/>
              <w:rPr>
                <w:i/>
              </w:rPr>
            </w:pPr>
            <w:r w:rsidRPr="005D34A0">
              <w:t xml:space="preserve">Extraire, à partir de documents, des informations </w:t>
            </w:r>
            <w:r w:rsidR="00E35004" w:rsidRPr="005D34A0">
              <w:t xml:space="preserve">sur </w:t>
            </w:r>
            <w:r w:rsidRPr="005D34A0">
              <w:t>les colorants et les texturants alimentaires E</w:t>
            </w:r>
            <w:r w:rsidR="001C1DC7" w:rsidRPr="005D34A0">
              <w:t> :</w:t>
            </w:r>
            <w:r w:rsidRPr="005D34A0">
              <w:t xml:space="preserve"> couleur, autorisation, effets connus</w:t>
            </w:r>
            <w:r w:rsidR="001C1DC7" w:rsidRPr="005D34A0">
              <w:t>, etc.</w:t>
            </w:r>
          </w:p>
          <w:p w:rsidR="009E3CDF" w:rsidRPr="005D34A0" w:rsidRDefault="009E3CDF" w:rsidP="005D34A0">
            <w:pPr>
              <w:pStyle w:val="Contenudetableau"/>
              <w:rPr>
                <w:i/>
              </w:rPr>
            </w:pPr>
            <w:r w:rsidRPr="005D34A0">
              <w:rPr>
                <w:i/>
              </w:rPr>
              <w:t>Mettre en œuvre un protocole expérimental pour identifier et doser par étalonnage un colorant alimentaire.</w:t>
            </w:r>
          </w:p>
          <w:p w:rsidR="00DA5B3B" w:rsidRPr="005D34A0" w:rsidRDefault="009E3CDF" w:rsidP="005D34A0">
            <w:pPr>
              <w:pStyle w:val="Contenudetableau"/>
            </w:pPr>
            <w:r w:rsidRPr="005D34A0">
              <w:t>Analyser des informations concernant les arômes naturels et de synthèse.</w:t>
            </w:r>
          </w:p>
        </w:tc>
      </w:tr>
    </w:tbl>
    <w:p w:rsidR="007C780E" w:rsidRDefault="007C780E" w:rsidP="007C780E">
      <w:pPr>
        <w:rPr>
          <w:lang w:eastAsia="fr-FR"/>
        </w:rPr>
      </w:pPr>
      <w:bookmarkStart w:id="40" w:name="_Toc8396280"/>
    </w:p>
    <w:p w:rsidR="000E7B30" w:rsidRPr="007C780E" w:rsidRDefault="009E3CDF" w:rsidP="00720A6A">
      <w:pPr>
        <w:pStyle w:val="Titre5"/>
        <w:pageBreakBefore/>
        <w:spacing w:after="120"/>
      </w:pPr>
      <w:r w:rsidRPr="007C780E">
        <w:rPr>
          <w:lang w:eastAsia="fr-FR"/>
        </w:rPr>
        <w:lastRenderedPageBreak/>
        <w:t>De la molécule au médicament</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2"/>
        <w:gridCol w:w="6266"/>
      </w:tblGrid>
      <w:tr w:rsidR="009E3CDF" w:rsidRPr="009151F9" w:rsidTr="009151F9">
        <w:trPr>
          <w:trHeight w:val="20"/>
        </w:trPr>
        <w:tc>
          <w:tcPr>
            <w:tcW w:w="2862" w:type="dxa"/>
            <w:shd w:val="clear" w:color="auto" w:fill="auto"/>
            <w:vAlign w:val="center"/>
          </w:tcPr>
          <w:p w:rsidR="009E3CDF" w:rsidRPr="009151F9" w:rsidRDefault="009E3CDF" w:rsidP="009151F9">
            <w:pPr>
              <w:pStyle w:val="Titre5tableau"/>
            </w:pPr>
            <w:r w:rsidRPr="009151F9">
              <w:t>Notions et contenus</w:t>
            </w:r>
          </w:p>
        </w:tc>
        <w:tc>
          <w:tcPr>
            <w:tcW w:w="6266" w:type="dxa"/>
            <w:shd w:val="clear" w:color="auto" w:fill="auto"/>
            <w:vAlign w:val="center"/>
          </w:tcPr>
          <w:p w:rsidR="009E3CDF" w:rsidRPr="009151F9" w:rsidRDefault="009E3CDF" w:rsidP="009151F9">
            <w:pPr>
              <w:pStyle w:val="Titre5tableau"/>
            </w:pPr>
            <w:r w:rsidRPr="009151F9">
              <w:t>Connaissances et capacités exigibles</w:t>
            </w:r>
          </w:p>
          <w:p w:rsidR="009E3CDF" w:rsidRPr="009151F9" w:rsidRDefault="009E3CDF" w:rsidP="009151F9">
            <w:pPr>
              <w:pStyle w:val="Titre5tableau"/>
            </w:pPr>
            <w:r w:rsidRPr="009151F9">
              <w:rPr>
                <w:rFonts w:eastAsia="Times"/>
                <w:i/>
              </w:rPr>
              <w:t>Activités expérimentales support de la formation</w:t>
            </w:r>
          </w:p>
        </w:tc>
      </w:tr>
      <w:tr w:rsidR="009E3CDF" w:rsidRPr="009151F9" w:rsidTr="00E10257">
        <w:trPr>
          <w:trHeight w:val="20"/>
        </w:trPr>
        <w:tc>
          <w:tcPr>
            <w:tcW w:w="9128" w:type="dxa"/>
            <w:gridSpan w:val="2"/>
            <w:shd w:val="clear" w:color="auto" w:fill="auto"/>
          </w:tcPr>
          <w:p w:rsidR="009E3CDF" w:rsidRPr="009151F9" w:rsidRDefault="009E3CDF" w:rsidP="009151F9">
            <w:pPr>
              <w:pStyle w:val="Titre4tableau"/>
            </w:pPr>
            <w:r w:rsidRPr="009151F9">
              <w:t>Comment l’histoire du médicament s’appuie-t-elle sur la structure moléculaire</w:t>
            </w:r>
            <w:r w:rsidR="001C1DC7" w:rsidRPr="009151F9">
              <w:t> ?</w:t>
            </w:r>
          </w:p>
        </w:tc>
      </w:tr>
      <w:tr w:rsidR="009E3CDF" w:rsidRPr="009151F9" w:rsidTr="00E10257">
        <w:trPr>
          <w:trHeight w:val="20"/>
        </w:trPr>
        <w:tc>
          <w:tcPr>
            <w:tcW w:w="2862" w:type="dxa"/>
            <w:shd w:val="clear" w:color="auto" w:fill="auto"/>
          </w:tcPr>
          <w:p w:rsidR="009E3CDF" w:rsidRPr="009151F9" w:rsidRDefault="009E3CDF" w:rsidP="009151F9">
            <w:pPr>
              <w:pStyle w:val="Contenudetableau"/>
            </w:pPr>
            <w:r w:rsidRPr="009151F9">
              <w:t>La chimie du médicament au XXe</w:t>
            </w:r>
            <w:r w:rsidR="000E7B30" w:rsidRPr="009151F9">
              <w:t xml:space="preserve"> siècle.</w:t>
            </w:r>
          </w:p>
        </w:tc>
        <w:tc>
          <w:tcPr>
            <w:tcW w:w="6266" w:type="dxa"/>
            <w:shd w:val="clear" w:color="auto" w:fill="auto"/>
          </w:tcPr>
          <w:p w:rsidR="009E3CDF" w:rsidRPr="009151F9" w:rsidRDefault="009E3CDF" w:rsidP="009151F9">
            <w:pPr>
              <w:pStyle w:val="Contenudetableau"/>
            </w:pPr>
            <w:r w:rsidRPr="009151F9">
              <w:t>Commenter l’origine naturelle et la structure d’une molécule active d’un médicament marquant les avancées spectaculaires au XXe siècle.</w:t>
            </w:r>
          </w:p>
        </w:tc>
      </w:tr>
      <w:tr w:rsidR="009E3CDF" w:rsidRPr="009151F9" w:rsidTr="00E10257">
        <w:trPr>
          <w:trHeight w:val="20"/>
        </w:trPr>
        <w:tc>
          <w:tcPr>
            <w:tcW w:w="9128" w:type="dxa"/>
            <w:gridSpan w:val="2"/>
            <w:shd w:val="clear" w:color="auto" w:fill="auto"/>
          </w:tcPr>
          <w:p w:rsidR="009E3CDF" w:rsidRPr="009151F9" w:rsidRDefault="009E3CDF" w:rsidP="009151F9">
            <w:pPr>
              <w:pStyle w:val="Titre4tableau"/>
            </w:pPr>
            <w:r w:rsidRPr="009151F9">
              <w:t>Comment s’oriente la recherche pour de nouveaux médicaments du futur</w:t>
            </w:r>
            <w:r w:rsidR="001C1DC7" w:rsidRPr="009151F9">
              <w:t> ?</w:t>
            </w:r>
          </w:p>
        </w:tc>
      </w:tr>
      <w:tr w:rsidR="009E3CDF" w:rsidRPr="009151F9" w:rsidTr="00E10257">
        <w:trPr>
          <w:trHeight w:val="20"/>
        </w:trPr>
        <w:tc>
          <w:tcPr>
            <w:tcW w:w="2862" w:type="dxa"/>
            <w:shd w:val="clear" w:color="auto" w:fill="auto"/>
          </w:tcPr>
          <w:p w:rsidR="009E3CDF" w:rsidRPr="009151F9" w:rsidRDefault="009E3CDF" w:rsidP="009151F9">
            <w:pPr>
              <w:pStyle w:val="Contenudetableau"/>
            </w:pPr>
            <w:r w:rsidRPr="009151F9">
              <w:t xml:space="preserve">Les </w:t>
            </w:r>
            <w:proofErr w:type="spellStart"/>
            <w:r w:rsidRPr="009151F9">
              <w:t>nanomédicaments</w:t>
            </w:r>
            <w:proofErr w:type="spellEnd"/>
            <w:r w:rsidR="000E7B30" w:rsidRPr="009151F9">
              <w:t>.</w:t>
            </w:r>
          </w:p>
          <w:p w:rsidR="009E3CDF" w:rsidRPr="009151F9" w:rsidRDefault="009E3CDF" w:rsidP="009151F9">
            <w:pPr>
              <w:pStyle w:val="Contenudetableau"/>
            </w:pPr>
            <w:r w:rsidRPr="009151F9">
              <w:t>Les médicaments hybrides</w:t>
            </w:r>
            <w:r w:rsidR="000E7B30" w:rsidRPr="009151F9">
              <w:t>.</w:t>
            </w:r>
          </w:p>
        </w:tc>
        <w:tc>
          <w:tcPr>
            <w:tcW w:w="6266" w:type="dxa"/>
            <w:shd w:val="clear" w:color="auto" w:fill="auto"/>
          </w:tcPr>
          <w:p w:rsidR="009E3CDF" w:rsidRPr="009151F9" w:rsidRDefault="009E3CDF" w:rsidP="009151F9">
            <w:pPr>
              <w:pStyle w:val="Contenudetableau"/>
            </w:pPr>
            <w:r w:rsidRPr="009151F9">
              <w:t xml:space="preserve">Rédiger un commentaire argumenté à partir de documents décrivant les propriétés de </w:t>
            </w:r>
            <w:proofErr w:type="spellStart"/>
            <w:r w:rsidRPr="009151F9">
              <w:t>nanomédicaments</w:t>
            </w:r>
            <w:proofErr w:type="spellEnd"/>
            <w:r w:rsidRPr="009151F9">
              <w:t xml:space="preserve"> ou de médicaments hybrides.</w:t>
            </w:r>
          </w:p>
        </w:tc>
      </w:tr>
    </w:tbl>
    <w:p w:rsidR="0064150C" w:rsidRPr="007C780E" w:rsidRDefault="0064150C" w:rsidP="009151F9">
      <w:pPr>
        <w:spacing w:before="0"/>
      </w:pPr>
      <w:bookmarkStart w:id="41" w:name="_Toc8396281"/>
      <w:bookmarkStart w:id="42" w:name="_Toc8815405"/>
      <w:bookmarkStart w:id="43" w:name="_Toc8816196"/>
    </w:p>
    <w:p w:rsidR="009E3CDF" w:rsidRPr="007C780E" w:rsidRDefault="009E3CDF" w:rsidP="007C780E">
      <w:pPr>
        <w:pStyle w:val="Titre5"/>
        <w:spacing w:after="120"/>
        <w:rPr>
          <w:rFonts w:eastAsia="Calibri"/>
          <w:bCs/>
          <w:lang w:eastAsia="fr-FR"/>
        </w:rPr>
      </w:pPr>
      <w:r w:rsidRPr="007C780E">
        <w:rPr>
          <w:rFonts w:eastAsia="Calibri"/>
          <w:lang w:eastAsia="fr-FR"/>
        </w:rPr>
        <w:t>L’usage responsable des produits cosmétiques</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2"/>
        <w:gridCol w:w="6266"/>
      </w:tblGrid>
      <w:tr w:rsidR="00720A6A" w:rsidRPr="009151F9" w:rsidTr="00382479">
        <w:trPr>
          <w:trHeight w:val="20"/>
        </w:trPr>
        <w:tc>
          <w:tcPr>
            <w:tcW w:w="2862" w:type="dxa"/>
            <w:shd w:val="clear" w:color="auto" w:fill="auto"/>
            <w:vAlign w:val="center"/>
          </w:tcPr>
          <w:p w:rsidR="00720A6A" w:rsidRPr="009151F9" w:rsidRDefault="00720A6A" w:rsidP="00382479">
            <w:pPr>
              <w:pStyle w:val="Titre5tableau"/>
            </w:pPr>
            <w:r w:rsidRPr="009151F9">
              <w:t>Notions et contenus</w:t>
            </w:r>
          </w:p>
        </w:tc>
        <w:tc>
          <w:tcPr>
            <w:tcW w:w="6266" w:type="dxa"/>
            <w:shd w:val="clear" w:color="auto" w:fill="auto"/>
            <w:vAlign w:val="center"/>
          </w:tcPr>
          <w:p w:rsidR="00720A6A" w:rsidRPr="009151F9" w:rsidRDefault="00720A6A" w:rsidP="00382479">
            <w:pPr>
              <w:pStyle w:val="Titre5tableau"/>
            </w:pPr>
            <w:r w:rsidRPr="009151F9">
              <w:t>Connaissances et capacités exigibles</w:t>
            </w:r>
          </w:p>
          <w:p w:rsidR="00720A6A" w:rsidRPr="009151F9" w:rsidRDefault="00720A6A" w:rsidP="00382479">
            <w:pPr>
              <w:pStyle w:val="Titre5tableau"/>
            </w:pPr>
            <w:r w:rsidRPr="009151F9">
              <w:rPr>
                <w:rFonts w:eastAsia="Times"/>
                <w:i/>
              </w:rPr>
              <w:t>Activités expérimentales support de la formation</w:t>
            </w:r>
          </w:p>
        </w:tc>
      </w:tr>
      <w:tr w:rsidR="009151F9" w:rsidRPr="009151F9" w:rsidTr="00A42D13">
        <w:trPr>
          <w:trHeight w:val="20"/>
        </w:trPr>
        <w:tc>
          <w:tcPr>
            <w:tcW w:w="9128" w:type="dxa"/>
            <w:gridSpan w:val="2"/>
            <w:shd w:val="clear" w:color="auto" w:fill="auto"/>
          </w:tcPr>
          <w:p w:rsidR="009151F9" w:rsidRPr="009151F9" w:rsidRDefault="009151F9" w:rsidP="004716A6">
            <w:pPr>
              <w:pStyle w:val="Titre4tableau"/>
            </w:pPr>
            <w:r w:rsidRPr="009151F9">
              <w:t>Comment la composition chimique d’un produit cosmétique détermine-t-elle son usage ?</w:t>
            </w:r>
          </w:p>
        </w:tc>
      </w:tr>
      <w:tr w:rsidR="009151F9" w:rsidRPr="009151F9" w:rsidTr="00A42D13">
        <w:trPr>
          <w:trHeight w:val="20"/>
        </w:trPr>
        <w:tc>
          <w:tcPr>
            <w:tcW w:w="2862" w:type="dxa"/>
            <w:shd w:val="clear" w:color="auto" w:fill="auto"/>
          </w:tcPr>
          <w:p w:rsidR="009151F9" w:rsidRPr="009151F9" w:rsidRDefault="009151F9" w:rsidP="004716A6">
            <w:pPr>
              <w:pStyle w:val="Contenudetableau"/>
            </w:pPr>
            <w:r w:rsidRPr="009151F9">
              <w:t>Les produits cosmétiques : soins du corps, soins d’embellissement, parfums, teintures.</w:t>
            </w:r>
          </w:p>
        </w:tc>
        <w:tc>
          <w:tcPr>
            <w:tcW w:w="6266" w:type="dxa"/>
            <w:shd w:val="clear" w:color="auto" w:fill="auto"/>
          </w:tcPr>
          <w:p w:rsidR="009151F9" w:rsidRPr="009151F9" w:rsidRDefault="009151F9" w:rsidP="004716A6">
            <w:pPr>
              <w:pStyle w:val="Contenudetableau"/>
            </w:pPr>
            <w:r w:rsidRPr="009151F9">
              <w:t>Analyser un document décrivant la composition et les effets d’un produit cosmétique sur la santé. Reconnaître un solvant dans un produit cosmétique.</w:t>
            </w:r>
          </w:p>
          <w:p w:rsidR="009151F9" w:rsidRPr="009151F9" w:rsidRDefault="009151F9" w:rsidP="004716A6">
            <w:pPr>
              <w:pStyle w:val="Contenudetableau"/>
            </w:pPr>
            <w:r w:rsidRPr="009151F9">
              <w:t xml:space="preserve">Commenter les avantages d’une synthèse de produit cosmétique au regard des principes de la chimie verte. Mettre en perspective le développement de la </w:t>
            </w:r>
            <w:proofErr w:type="spellStart"/>
            <w:r w:rsidRPr="009151F9">
              <w:t>phytochimie</w:t>
            </w:r>
            <w:proofErr w:type="spellEnd"/>
            <w:r w:rsidRPr="009151F9">
              <w:t>.</w:t>
            </w:r>
          </w:p>
        </w:tc>
      </w:tr>
      <w:tr w:rsidR="009151F9" w:rsidRPr="009151F9" w:rsidTr="00A42D13">
        <w:trPr>
          <w:trHeight w:val="20"/>
        </w:trPr>
        <w:tc>
          <w:tcPr>
            <w:tcW w:w="9128" w:type="dxa"/>
            <w:gridSpan w:val="2"/>
            <w:shd w:val="clear" w:color="auto" w:fill="auto"/>
          </w:tcPr>
          <w:p w:rsidR="009151F9" w:rsidRPr="009151F9" w:rsidRDefault="009151F9" w:rsidP="004716A6">
            <w:pPr>
              <w:pStyle w:val="Titre4tableau"/>
            </w:pPr>
            <w:r w:rsidRPr="009151F9">
              <w:t>Comment l’action d’un antioxydant peut-elle contribuer à la protection solaire ?</w:t>
            </w:r>
          </w:p>
        </w:tc>
      </w:tr>
      <w:tr w:rsidR="009151F9" w:rsidRPr="009151F9" w:rsidTr="00A42D13">
        <w:trPr>
          <w:trHeight w:val="20"/>
        </w:trPr>
        <w:tc>
          <w:tcPr>
            <w:tcW w:w="2862" w:type="dxa"/>
            <w:shd w:val="clear" w:color="auto" w:fill="auto"/>
          </w:tcPr>
          <w:p w:rsidR="009151F9" w:rsidRPr="009151F9" w:rsidRDefault="009151F9" w:rsidP="004716A6">
            <w:pPr>
              <w:pStyle w:val="Contenudetableau"/>
            </w:pPr>
            <w:r w:rsidRPr="009151F9">
              <w:t>Protection solaire.</w:t>
            </w:r>
          </w:p>
          <w:p w:rsidR="009151F9" w:rsidRPr="009151F9" w:rsidRDefault="009151F9" w:rsidP="004716A6">
            <w:pPr>
              <w:pStyle w:val="Contenudetableau"/>
            </w:pPr>
            <w:r w:rsidRPr="009151F9">
              <w:t>Antioxydant.</w:t>
            </w:r>
          </w:p>
        </w:tc>
        <w:tc>
          <w:tcPr>
            <w:tcW w:w="6266" w:type="dxa"/>
            <w:shd w:val="clear" w:color="auto" w:fill="auto"/>
          </w:tcPr>
          <w:p w:rsidR="009151F9" w:rsidRPr="009151F9" w:rsidRDefault="009151F9" w:rsidP="004716A6">
            <w:pPr>
              <w:pStyle w:val="Contenudetableau"/>
            </w:pPr>
            <w:r w:rsidRPr="009151F9">
              <w:t>Distinguer les UVA et les UVB. Décrire qualitativement l’action des UV sur la peau. Interpréter l’indice et la composition d’une crème solaire.</w:t>
            </w:r>
          </w:p>
          <w:p w:rsidR="009151F9" w:rsidRPr="009151F9" w:rsidRDefault="009151F9" w:rsidP="004716A6">
            <w:pPr>
              <w:pStyle w:val="Contenudetableau"/>
            </w:pPr>
            <w:r w:rsidRPr="009151F9">
              <w:t xml:space="preserve">Distinguer les actions hydratante et </w:t>
            </w:r>
            <w:proofErr w:type="spellStart"/>
            <w:r w:rsidRPr="009151F9">
              <w:t>antioxydante</w:t>
            </w:r>
            <w:proofErr w:type="spellEnd"/>
            <w:r w:rsidRPr="009151F9">
              <w:t>.</w:t>
            </w:r>
          </w:p>
        </w:tc>
      </w:tr>
    </w:tbl>
    <w:p w:rsidR="009E3CDF" w:rsidRPr="007C780E" w:rsidRDefault="009E3CDF" w:rsidP="007C780E">
      <w:pPr>
        <w:spacing w:before="0"/>
        <w:rPr>
          <w:rFonts w:cs="Arial"/>
        </w:rPr>
      </w:pPr>
    </w:p>
    <w:p w:rsidR="009E3CDF" w:rsidRPr="007C780E" w:rsidRDefault="009E3CDF" w:rsidP="009B77C3">
      <w:pPr>
        <w:pStyle w:val="Titre5"/>
      </w:pPr>
      <w:r w:rsidRPr="007C780E">
        <w:t>Commentaires</w:t>
      </w:r>
    </w:p>
    <w:p w:rsidR="001C1DC7" w:rsidRPr="007C780E" w:rsidRDefault="009E3CDF" w:rsidP="00F17EA6">
      <w:pPr>
        <w:pStyle w:val="Titre4tableau"/>
      </w:pPr>
      <w:r w:rsidRPr="007C780E">
        <w:t>Ouvertures et limites</w:t>
      </w:r>
    </w:p>
    <w:p w:rsidR="001C1DC7" w:rsidRPr="007C780E" w:rsidRDefault="009E3CDF" w:rsidP="004716A6">
      <w:r w:rsidRPr="007C780E">
        <w:t xml:space="preserve">La présentation des biomolécules telles que les lipides, les protéines et les vitamines prolonge l’étude des structures chimiques et des glucides </w:t>
      </w:r>
      <w:r w:rsidR="00816D88" w:rsidRPr="007C780E">
        <w:t>engagée</w:t>
      </w:r>
      <w:r w:rsidRPr="007C780E">
        <w:t xml:space="preserve"> en classe de </w:t>
      </w:r>
      <w:r w:rsidR="000E7B30" w:rsidRPr="007C780E">
        <w:t>p</w:t>
      </w:r>
      <w:r w:rsidRPr="007C780E">
        <w:t xml:space="preserve">remière. Il ne s’agit pas de présenter un catalogue de molécules complexes ni </w:t>
      </w:r>
      <w:r w:rsidR="00C605F4" w:rsidRPr="007C780E">
        <w:t xml:space="preserve">d’en demander une mémorisation. </w:t>
      </w:r>
      <w:r w:rsidR="00E35004" w:rsidRPr="007C780E">
        <w:t>L</w:t>
      </w:r>
      <w:r w:rsidRPr="007C780E">
        <w:t>a reconnaissance des fonctions structurales fondamentales est</w:t>
      </w:r>
      <w:r w:rsidR="00E35004" w:rsidRPr="007C780E">
        <w:t xml:space="preserve"> cependant</w:t>
      </w:r>
      <w:r w:rsidRPr="007C780E">
        <w:t xml:space="preserve"> exigée pour </w:t>
      </w:r>
      <w:r w:rsidR="005F7211" w:rsidRPr="007C780E">
        <w:t>que soit analysé</w:t>
      </w:r>
      <w:r w:rsidRPr="007C780E">
        <w:t xml:space="preserve"> le lien entre structure et réactivité. L’ambition est ici de faire acquérir aux élèves une meilleure compréhension du rôle des nutriments et par conséquent </w:t>
      </w:r>
      <w:r w:rsidR="00E35004" w:rsidRPr="007C780E">
        <w:t xml:space="preserve">de les responsabiliser </w:t>
      </w:r>
      <w:r w:rsidRPr="007C780E">
        <w:t xml:space="preserve">dans </w:t>
      </w:r>
      <w:r w:rsidR="00E35004" w:rsidRPr="007C780E">
        <w:t xml:space="preserve">leurs </w:t>
      </w:r>
      <w:r w:rsidRPr="007C780E">
        <w:t>choix d’alimentation.</w:t>
      </w:r>
    </w:p>
    <w:p w:rsidR="001C1DC7" w:rsidRPr="007C780E" w:rsidRDefault="009E3CDF" w:rsidP="004716A6">
      <w:r w:rsidRPr="007C780E">
        <w:t>Le thème 3 mobilise en particulier le domaine de la chimie du médicament, amenant l’homme du XXI</w:t>
      </w:r>
      <w:r w:rsidRPr="004716A6">
        <w:t>e</w:t>
      </w:r>
      <w:r w:rsidRPr="007C780E">
        <w:t xml:space="preserve"> siècle à saisir les liens entre structure chimique et traitement médical, à </w:t>
      </w:r>
      <w:r w:rsidR="005F7211" w:rsidRPr="007C780E">
        <w:t>utiliser les médicaments avec confiance et clairvoyance</w:t>
      </w:r>
      <w:r w:rsidR="00A611B3" w:rsidRPr="007C780E">
        <w:t>,</w:t>
      </w:r>
      <w:r w:rsidR="005F7211" w:rsidRPr="007C780E">
        <w:t xml:space="preserve"> </w:t>
      </w:r>
      <w:r w:rsidRPr="007C780E">
        <w:t xml:space="preserve">et à comprendre certains enjeux portés par la recherche scientifique. Des aspects historiques peuvent </w:t>
      </w:r>
      <w:r w:rsidRPr="00F17EA6">
        <w:t xml:space="preserve">être cités pour </w:t>
      </w:r>
      <w:r w:rsidRPr="00F17EA6">
        <w:lastRenderedPageBreak/>
        <w:t>exemples</w:t>
      </w:r>
      <w:r w:rsidR="007A5B25" w:rsidRPr="00F17EA6">
        <w:t>, notamment sur</w:t>
      </w:r>
      <w:r w:rsidRPr="00F17EA6">
        <w:t xml:space="preserve"> la culture de la chimie du médicament,</w:t>
      </w:r>
      <w:r w:rsidRPr="007C780E">
        <w:t xml:space="preserve"> d’abord inspirée de la nature avant de devenir chimie de synthèse. </w:t>
      </w:r>
      <w:r w:rsidR="005F7211" w:rsidRPr="007C780E">
        <w:t>S</w:t>
      </w:r>
      <w:r w:rsidR="00375517" w:rsidRPr="007C780E">
        <w:t xml:space="preserve">ur le même sujet peuvent être cités </w:t>
      </w:r>
      <w:r w:rsidRPr="007C780E">
        <w:t xml:space="preserve">quelques exemples de molécules tels que la streptomycine venant d’une bactérie, le taxol venant du </w:t>
      </w:r>
      <w:proofErr w:type="spellStart"/>
      <w:r w:rsidRPr="007C780E">
        <w:t>taxotère</w:t>
      </w:r>
      <w:proofErr w:type="spellEnd"/>
      <w:r w:rsidRPr="007C780E">
        <w:t xml:space="preserve"> dans l’if, ou d’autres molécules dont les structures ne sont pas exigibles mais peuvent faire l’objet de commentaires.</w:t>
      </w:r>
    </w:p>
    <w:p w:rsidR="001C1DC7" w:rsidRPr="007C780E" w:rsidRDefault="009E3CDF" w:rsidP="004716A6">
      <w:r w:rsidRPr="007C780E">
        <w:t>Le thème 3 poursuit également l’objectif de sensibiliser</w:t>
      </w:r>
      <w:r w:rsidR="00375517" w:rsidRPr="007C780E">
        <w:t>,</w:t>
      </w:r>
      <w:r w:rsidR="00C605F4" w:rsidRPr="007C780E">
        <w:t xml:space="preserve"> </w:t>
      </w:r>
      <w:r w:rsidR="00DC67F8" w:rsidRPr="007C780E">
        <w:t xml:space="preserve">sans exhaustivité, </w:t>
      </w:r>
      <w:r w:rsidRPr="007C780E">
        <w:t>le</w:t>
      </w:r>
      <w:r w:rsidR="00DC67F8" w:rsidRPr="007C780E">
        <w:t xml:space="preserve"> futur</w:t>
      </w:r>
      <w:r w:rsidRPr="007C780E">
        <w:t xml:space="preserve"> consommateur à l’usage éclairé de quelques produits cosmétiques</w:t>
      </w:r>
      <w:r w:rsidR="00BB3EDB" w:rsidRPr="007C780E">
        <w:t xml:space="preserve"> </w:t>
      </w:r>
      <w:r w:rsidR="00375517" w:rsidRPr="007C780E">
        <w:t xml:space="preserve">en l’invitant à examiner particulièrement </w:t>
      </w:r>
      <w:r w:rsidRPr="007C780E">
        <w:t>le lien entre composition chimique et effets sur la santé. Les principes de la chimie verte sont présentés sans développement excessif. Cette partie thématique se prête</w:t>
      </w:r>
      <w:r w:rsidR="00C605F4" w:rsidRPr="007C780E">
        <w:rPr>
          <w:strike/>
        </w:rPr>
        <w:t xml:space="preserve"> </w:t>
      </w:r>
      <w:r w:rsidRPr="007C780E">
        <w:t xml:space="preserve">à </w:t>
      </w:r>
      <w:r w:rsidR="005F7211" w:rsidRPr="007C780E">
        <w:t>l’</w:t>
      </w:r>
      <w:r w:rsidRPr="007C780E">
        <w:t xml:space="preserve">analyse de documents </w:t>
      </w:r>
      <w:r w:rsidR="005F7211" w:rsidRPr="007C780E">
        <w:t>abordant</w:t>
      </w:r>
      <w:r w:rsidRPr="007C780E">
        <w:t xml:space="preserve"> par exemple la question de la relation entre cosmétique et médicament, ou encore celle de la synth</w:t>
      </w:r>
      <w:r w:rsidR="00EF7BDB" w:rsidRPr="007C780E">
        <w:t xml:space="preserve">èse de substances actives sans </w:t>
      </w:r>
      <w:r w:rsidRPr="007C780E">
        <w:t xml:space="preserve">recours à un solvant. </w:t>
      </w:r>
      <w:r w:rsidR="005F7211" w:rsidRPr="007C780E">
        <w:t xml:space="preserve">Une analyse critique </w:t>
      </w:r>
      <w:r w:rsidRPr="007C780E">
        <w:t>des antioxydants pour la protection solaire peut c</w:t>
      </w:r>
      <w:r w:rsidR="00EF7BDB" w:rsidRPr="007C780E">
        <w:t xml:space="preserve">onduire à </w:t>
      </w:r>
      <w:r w:rsidR="005F7211" w:rsidRPr="007C780E">
        <w:t>la formulation de</w:t>
      </w:r>
      <w:r w:rsidR="00C605F4" w:rsidRPr="007C780E">
        <w:t xml:space="preserve"> </w:t>
      </w:r>
      <w:r w:rsidRPr="007C780E">
        <w:t>précautions d’emploi. Les stratégies de lutte contre le stress oxydant cutané peuvent faire l’objet d’une étude documentaire.</w:t>
      </w:r>
    </w:p>
    <w:p w:rsidR="009E3CDF" w:rsidRPr="007C780E" w:rsidRDefault="009E3CDF" w:rsidP="00F17EA6">
      <w:pPr>
        <w:pStyle w:val="Titre4tableau"/>
      </w:pPr>
      <w:r w:rsidRPr="007C780E">
        <w:t>Perspectives</w:t>
      </w:r>
    </w:p>
    <w:p w:rsidR="001C1DC7" w:rsidRPr="007C780E" w:rsidRDefault="009E3CDF" w:rsidP="004716A6">
      <w:r w:rsidRPr="007C780E">
        <w:t>Le thème 3 met en perspective plusieurs défis de société dans le domaine de l’alimentation</w:t>
      </w:r>
      <w:r w:rsidR="001C1DC7" w:rsidRPr="007C780E">
        <w:t> :</w:t>
      </w:r>
      <w:r w:rsidRPr="007C780E">
        <w:t xml:space="preserve"> exigence croissante de qualité par le consommateur, recherche de protéines pour nourrir </w:t>
      </w:r>
      <w:r w:rsidR="004038FC" w:rsidRPr="007C780E">
        <w:t xml:space="preserve">l’humanité </w:t>
      </w:r>
      <w:r w:rsidRPr="007C780E">
        <w:t>demain, synthèse d’additifs inspirés de la nature.</w:t>
      </w:r>
    </w:p>
    <w:p w:rsidR="001C1DC7" w:rsidRPr="007C780E" w:rsidRDefault="009E3CDF" w:rsidP="004716A6">
      <w:r w:rsidRPr="007C780E">
        <w:t>La voie des médicaments du futur, plus performants, est tracée</w:t>
      </w:r>
      <w:r w:rsidR="001C1DC7" w:rsidRPr="007C780E">
        <w:t> :</w:t>
      </w:r>
      <w:r w:rsidRPr="007C780E">
        <w:t xml:space="preserve"> </w:t>
      </w:r>
      <w:proofErr w:type="spellStart"/>
      <w:r w:rsidRPr="007C780E">
        <w:t>nanomédicaments</w:t>
      </w:r>
      <w:proofErr w:type="spellEnd"/>
      <w:r w:rsidRPr="007C780E">
        <w:t xml:space="preserve"> et médicaments hybrides</w:t>
      </w:r>
      <w:r w:rsidR="00EF7BDB" w:rsidRPr="007C780E">
        <w:t xml:space="preserve">. </w:t>
      </w:r>
      <w:r w:rsidRPr="007C780E">
        <w:t>Dans ce cadre, la synthèse du médicament est guidée par la biologie structurale et la chimie devient une chimie combinatoire dynamique grâce aux avancées de la génétique.</w:t>
      </w:r>
    </w:p>
    <w:p w:rsidR="009E3CDF" w:rsidRPr="007C780E" w:rsidRDefault="009E3CDF" w:rsidP="004716A6">
      <w:r w:rsidRPr="007C780E">
        <w:t xml:space="preserve">La perspective d’une amélioration des procédés de fabrication des produits cosmétiques émerge, inspirée des principes de la chimie verte. Le développement de la </w:t>
      </w:r>
      <w:proofErr w:type="spellStart"/>
      <w:r w:rsidRPr="007C780E">
        <w:t>phytochimie</w:t>
      </w:r>
      <w:proofErr w:type="spellEnd"/>
      <w:r w:rsidRPr="007C780E">
        <w:t xml:space="preserve"> au service des cosmétiques s’inscrit dans un enjeu de performance et de qual</w:t>
      </w:r>
      <w:r w:rsidR="00C605F4" w:rsidRPr="007C780E">
        <w:t xml:space="preserve">ité. </w:t>
      </w:r>
      <w:r w:rsidR="00BD0E63" w:rsidRPr="007C780E">
        <w:t>L</w:t>
      </w:r>
      <w:r w:rsidRPr="007C780E">
        <w:t>’enjeu des cosmétiques hybrides</w:t>
      </w:r>
      <w:r w:rsidR="004038FC" w:rsidRPr="007C780E">
        <w:t>, qu</w:t>
      </w:r>
      <w:r w:rsidR="00C605F4" w:rsidRPr="007C780E">
        <w:t>i combinent plusieurs fonctions,</w:t>
      </w:r>
      <w:r w:rsidRPr="007C780E">
        <w:t xml:space="preserve"> peut </w:t>
      </w:r>
      <w:r w:rsidR="00BD0E63" w:rsidRPr="007C780E">
        <w:t xml:space="preserve">également </w:t>
      </w:r>
      <w:r w:rsidRPr="007C780E">
        <w:t xml:space="preserve">être signalé. La frontière avec le médicament est </w:t>
      </w:r>
      <w:r w:rsidR="005422ED" w:rsidRPr="007C780E">
        <w:t>clairement définie</w:t>
      </w:r>
      <w:r w:rsidRPr="007C780E">
        <w:t xml:space="preserve"> mais </w:t>
      </w:r>
      <w:r w:rsidR="00BB6390" w:rsidRPr="007C780E">
        <w:t>une</w:t>
      </w:r>
      <w:r w:rsidR="00483F01" w:rsidRPr="007C780E">
        <w:t xml:space="preserve"> </w:t>
      </w:r>
      <w:r w:rsidRPr="007C780E">
        <w:t xml:space="preserve">meilleure connaissance des molécules </w:t>
      </w:r>
      <w:r w:rsidR="00BB6390" w:rsidRPr="007C780E">
        <w:t xml:space="preserve">est nécessaire pour </w:t>
      </w:r>
      <w:r w:rsidRPr="007C780E">
        <w:t>répondre à l’exigence de sécurité en ma</w:t>
      </w:r>
      <w:r w:rsidR="00EF7BDB" w:rsidRPr="007C780E">
        <w:t>tière d’usage des cosmétiques.</w:t>
      </w:r>
    </w:p>
    <w:p w:rsidR="001C1DC7" w:rsidRPr="007C780E" w:rsidRDefault="009E3CDF" w:rsidP="004716A6">
      <w:r w:rsidRPr="007C780E">
        <w:t xml:space="preserve">Ces perspectives s’appuient fortement sur l’innovation scientifique et technologique portée par une recherche fondamentale et appliquée </w:t>
      </w:r>
      <w:r w:rsidR="004038FC" w:rsidRPr="007C780E">
        <w:t>à</w:t>
      </w:r>
      <w:r w:rsidRPr="007C780E">
        <w:t xml:space="preserve"> laquelle plusieurs disciplines apportent leurs contributions.</w:t>
      </w:r>
    </w:p>
    <w:p w:rsidR="003532E1" w:rsidRPr="007C780E" w:rsidRDefault="003532E1" w:rsidP="007C780E">
      <w:r w:rsidRPr="007C780E">
        <w:br w:type="page"/>
      </w:r>
    </w:p>
    <w:p w:rsidR="001C1DC7" w:rsidRPr="007C780E" w:rsidRDefault="009E3CDF" w:rsidP="001200C9">
      <w:pPr>
        <w:pStyle w:val="Titre2"/>
        <w:spacing w:after="120"/>
        <w:rPr>
          <w:i/>
        </w:rPr>
      </w:pPr>
      <w:bookmarkStart w:id="44" w:name="_Toc8396282"/>
      <w:bookmarkStart w:id="45" w:name="_Toc8815406"/>
      <w:r w:rsidRPr="007C780E">
        <w:lastRenderedPageBreak/>
        <w:t>B</w:t>
      </w:r>
      <w:r w:rsidR="003532E1" w:rsidRPr="007C780E">
        <w:t>iologie et physiopathologie humaines</w:t>
      </w:r>
      <w:bookmarkEnd w:id="44"/>
      <w:bookmarkEnd w:id="45"/>
    </w:p>
    <w:p w:rsidR="001C1DC7" w:rsidRPr="007C780E" w:rsidRDefault="009E3CDF" w:rsidP="001200C9">
      <w:pPr>
        <w:pStyle w:val="Titre3"/>
        <w:spacing w:before="120" w:after="60"/>
      </w:pPr>
      <w:bookmarkStart w:id="46" w:name="_Toc525634483"/>
      <w:bookmarkStart w:id="47" w:name="_Toc525897039"/>
      <w:bookmarkStart w:id="48" w:name="_Toc8396283"/>
      <w:bookmarkStart w:id="49" w:name="_Toc8815407"/>
      <w:r w:rsidRPr="007C780E">
        <w:t>Objectifs</w:t>
      </w:r>
      <w:bookmarkEnd w:id="46"/>
      <w:bookmarkEnd w:id="47"/>
      <w:r w:rsidRPr="007C780E">
        <w:t> et enjeux de cet enseignement</w:t>
      </w:r>
      <w:bookmarkEnd w:id="48"/>
      <w:bookmarkEnd w:id="49"/>
    </w:p>
    <w:p w:rsidR="004038FC" w:rsidRPr="007C780E" w:rsidRDefault="009E3CDF" w:rsidP="00F8538E">
      <w:r w:rsidRPr="007C780E">
        <w:t>L’enseignement de</w:t>
      </w:r>
      <w:r w:rsidRPr="007C780E">
        <w:rPr>
          <w:b/>
          <w:bCs/>
        </w:rPr>
        <w:t xml:space="preserve"> </w:t>
      </w:r>
      <w:r w:rsidRPr="007C780E">
        <w:rPr>
          <w:bCs/>
        </w:rPr>
        <w:t>biologie et physiopathologie humaines</w:t>
      </w:r>
      <w:r w:rsidRPr="007C780E">
        <w:rPr>
          <w:b/>
          <w:bCs/>
        </w:rPr>
        <w:t xml:space="preserve"> </w:t>
      </w:r>
      <w:r w:rsidRPr="007C780E">
        <w:rPr>
          <w:bCs/>
        </w:rPr>
        <w:t>d</w:t>
      </w:r>
      <w:r w:rsidRPr="007C780E">
        <w:t xml:space="preserve">onne </w:t>
      </w:r>
      <w:r w:rsidR="005422ED" w:rsidRPr="007C780E">
        <w:t xml:space="preserve">à l’élève de la série </w:t>
      </w:r>
      <w:r w:rsidRPr="007C780E">
        <w:t>Sciences et technologies de la santé et du social les connaissances</w:t>
      </w:r>
      <w:r w:rsidR="00DC67F8" w:rsidRPr="007C780E">
        <w:t xml:space="preserve"> qui lui</w:t>
      </w:r>
      <w:r w:rsidRPr="007C780E">
        <w:t xml:space="preserve"> </w:t>
      </w:r>
      <w:r w:rsidR="004038FC" w:rsidRPr="007C780E">
        <w:t xml:space="preserve">permettent </w:t>
      </w:r>
      <w:r w:rsidRPr="007C780E">
        <w:t>de comprendre l’organisation générale de l’être humain et d’appréhender son fonctionnement intégré.</w:t>
      </w:r>
    </w:p>
    <w:p w:rsidR="003532E1" w:rsidRPr="007C780E" w:rsidRDefault="009E3CDF" w:rsidP="00F8538E">
      <w:r w:rsidRPr="007C780E">
        <w:t>L’étude des grandes fonctions, caractéristique de la formation en biologie humaine de cette série</w:t>
      </w:r>
      <w:r w:rsidR="004038FC" w:rsidRPr="007C780E">
        <w:t xml:space="preserve"> technologique</w:t>
      </w:r>
      <w:r w:rsidRPr="007C780E">
        <w:t xml:space="preserve">, ancre sa spécificité dans une approche contextualisée de l’enseignement par </w:t>
      </w:r>
      <w:r w:rsidR="004038FC" w:rsidRPr="007C780E">
        <w:t>l’</w:t>
      </w:r>
      <w:r w:rsidRPr="007C780E">
        <w:t>étude de certaines pathologies.</w:t>
      </w:r>
    </w:p>
    <w:p w:rsidR="001C1DC7" w:rsidRPr="007C780E" w:rsidRDefault="005422ED" w:rsidP="00F8538E">
      <w:r w:rsidRPr="007C780E">
        <w:t>C</w:t>
      </w:r>
      <w:r w:rsidR="009E3CDF" w:rsidRPr="007C780E">
        <w:t>et enseignement permet de conduire une analyse des interactions de l’organisme avec l’environnement dans ses dimensions biologiques et médico-sociales.</w:t>
      </w:r>
    </w:p>
    <w:p w:rsidR="001C1DC7" w:rsidRPr="007C780E" w:rsidRDefault="009E3CDF" w:rsidP="00F8538E">
      <w:pPr>
        <w:rPr>
          <w:sz w:val="24"/>
          <w:szCs w:val="24"/>
        </w:rPr>
      </w:pPr>
      <w:r w:rsidRPr="007C780E">
        <w:rPr>
          <w:sz w:val="24"/>
          <w:szCs w:val="24"/>
        </w:rPr>
        <w:t xml:space="preserve">Il </w:t>
      </w:r>
      <w:r w:rsidR="004038FC" w:rsidRPr="007C780E">
        <w:rPr>
          <w:sz w:val="24"/>
          <w:szCs w:val="24"/>
        </w:rPr>
        <w:t xml:space="preserve">développe </w:t>
      </w:r>
      <w:r w:rsidRPr="007C780E">
        <w:rPr>
          <w:sz w:val="24"/>
          <w:szCs w:val="24"/>
        </w:rPr>
        <w:t xml:space="preserve">des savoirs et </w:t>
      </w:r>
      <w:r w:rsidR="004038FC" w:rsidRPr="007C780E">
        <w:rPr>
          <w:sz w:val="24"/>
          <w:szCs w:val="24"/>
        </w:rPr>
        <w:t xml:space="preserve">des </w:t>
      </w:r>
      <w:r w:rsidRPr="007C780E">
        <w:rPr>
          <w:sz w:val="24"/>
          <w:szCs w:val="24"/>
        </w:rPr>
        <w:t>compétences en biologie et physiopathologie humaines déterminants pour la poursuite d’études supérieures dans les secteurs paramédical et social.</w:t>
      </w:r>
    </w:p>
    <w:p w:rsidR="001C1DC7" w:rsidRPr="007C780E" w:rsidRDefault="009E3CDF" w:rsidP="001200C9">
      <w:pPr>
        <w:pStyle w:val="Titre3"/>
        <w:spacing w:before="120" w:after="60"/>
      </w:pPr>
      <w:bookmarkStart w:id="50" w:name="_Toc525634484"/>
      <w:bookmarkStart w:id="51" w:name="_Toc525897040"/>
      <w:bookmarkStart w:id="52" w:name="_Toc8396284"/>
      <w:bookmarkStart w:id="53" w:name="_Toc8815408"/>
      <w:r w:rsidRPr="007C780E">
        <w:t>Compétences visées</w:t>
      </w:r>
      <w:bookmarkEnd w:id="50"/>
      <w:bookmarkEnd w:id="51"/>
      <w:bookmarkEnd w:id="52"/>
      <w:bookmarkEnd w:id="53"/>
    </w:p>
    <w:p w:rsidR="009E3CDF" w:rsidRPr="007C780E" w:rsidRDefault="009E3CDF" w:rsidP="00F8538E">
      <w:r w:rsidRPr="007C780E">
        <w:t xml:space="preserve">La formation en biologie et physiopathologie humaines repose sur une approche technologique </w:t>
      </w:r>
      <w:r w:rsidR="00D32E76" w:rsidRPr="007C780E">
        <w:t>qui allie</w:t>
      </w:r>
      <w:r w:rsidRPr="007C780E">
        <w:t xml:space="preserve"> </w:t>
      </w:r>
      <w:r w:rsidR="00D32E76" w:rsidRPr="007C780E">
        <w:t xml:space="preserve">la </w:t>
      </w:r>
      <w:r w:rsidRPr="007C780E">
        <w:t xml:space="preserve">démarche expérimentale et une analyse du fonctionnement normal et pathologique de l’individu. </w:t>
      </w:r>
      <w:r w:rsidR="00D32E76" w:rsidRPr="007C780E">
        <w:t xml:space="preserve">Une telle approche </w:t>
      </w:r>
      <w:r w:rsidRPr="007C780E">
        <w:t xml:space="preserve">permet </w:t>
      </w:r>
      <w:r w:rsidR="00D32E76" w:rsidRPr="007C780E">
        <w:t>à l’élève</w:t>
      </w:r>
      <w:r w:rsidR="001C1DC7" w:rsidRPr="007C780E">
        <w:t> :</w:t>
      </w:r>
    </w:p>
    <w:p w:rsidR="009E3CDF" w:rsidRPr="007C780E" w:rsidRDefault="00D32E76" w:rsidP="00F8538E">
      <w:pPr>
        <w:pStyle w:val="liste"/>
      </w:pPr>
      <w:r w:rsidRPr="007C780E">
        <w:t xml:space="preserve">d’acquérir </w:t>
      </w:r>
      <w:r w:rsidR="009E3CDF" w:rsidRPr="007C780E">
        <w:t>une démarche d’analyse</w:t>
      </w:r>
      <w:r w:rsidR="001C1DC7" w:rsidRPr="007C780E">
        <w:t> ;</w:t>
      </w:r>
    </w:p>
    <w:p w:rsidR="009E3CDF" w:rsidRPr="007C780E" w:rsidRDefault="00D32E76" w:rsidP="00F8538E">
      <w:pPr>
        <w:pStyle w:val="liste"/>
      </w:pPr>
      <w:r w:rsidRPr="007C780E">
        <w:t xml:space="preserve">de </w:t>
      </w:r>
      <w:r w:rsidR="009E3CDF" w:rsidRPr="007C780E">
        <w:t>développer e</w:t>
      </w:r>
      <w:r w:rsidR="00EF7BDB" w:rsidRPr="007C780E">
        <w:t xml:space="preserve">sprit critique et raisonnement </w:t>
      </w:r>
      <w:r w:rsidR="009E3CDF" w:rsidRPr="007C780E">
        <w:t>scientifique</w:t>
      </w:r>
      <w:r w:rsidR="001C1DC7" w:rsidRPr="007C780E">
        <w:t> ;</w:t>
      </w:r>
    </w:p>
    <w:p w:rsidR="009E3CDF" w:rsidRPr="007C780E" w:rsidRDefault="00D32E76" w:rsidP="00F8538E">
      <w:pPr>
        <w:pStyle w:val="liste"/>
      </w:pPr>
      <w:r w:rsidRPr="007C780E">
        <w:t xml:space="preserve">de </w:t>
      </w:r>
      <w:r w:rsidR="009E3CDF" w:rsidRPr="007C780E">
        <w:t>confor</w:t>
      </w:r>
      <w:r w:rsidR="00EF7BDB" w:rsidRPr="007C780E">
        <w:t xml:space="preserve">ter et renforcer les capacités </w:t>
      </w:r>
      <w:r w:rsidR="009E3CDF" w:rsidRPr="007C780E">
        <w:t>d’expression écrite et orale</w:t>
      </w:r>
      <w:r w:rsidR="001C1DC7" w:rsidRPr="007C780E">
        <w:t> ;</w:t>
      </w:r>
    </w:p>
    <w:p w:rsidR="009E3CDF" w:rsidRPr="007C780E" w:rsidRDefault="00D32E76" w:rsidP="00F8538E">
      <w:pPr>
        <w:pStyle w:val="liste"/>
      </w:pPr>
      <w:r w:rsidRPr="007C780E">
        <w:t>d’</w:t>
      </w:r>
      <w:r w:rsidR="009E3CDF" w:rsidRPr="007C780E">
        <w:t>acquérir un vocabul</w:t>
      </w:r>
      <w:r w:rsidR="00EF7BDB" w:rsidRPr="007C780E">
        <w:t>aire scientifique et médical et</w:t>
      </w:r>
      <w:r w:rsidRPr="007C780E">
        <w:t xml:space="preserve"> de</w:t>
      </w:r>
      <w:r w:rsidR="009E3CDF" w:rsidRPr="007C780E">
        <w:t xml:space="preserve"> le mobiliser</w:t>
      </w:r>
      <w:r w:rsidR="001C1DC7" w:rsidRPr="007C780E">
        <w:t> ;</w:t>
      </w:r>
    </w:p>
    <w:p w:rsidR="009E3CDF" w:rsidRPr="007C780E" w:rsidRDefault="00D32E76" w:rsidP="00F8538E">
      <w:pPr>
        <w:pStyle w:val="liste"/>
      </w:pPr>
      <w:r w:rsidRPr="007C780E">
        <w:t>d’</w:t>
      </w:r>
      <w:r w:rsidR="009E3CDF" w:rsidRPr="007C780E">
        <w:t>appréhender le fonctionnement de l’organisme humain dans son environnement, échangeant matière et information</w:t>
      </w:r>
      <w:r w:rsidR="001C1DC7" w:rsidRPr="007C780E">
        <w:t> ;</w:t>
      </w:r>
    </w:p>
    <w:p w:rsidR="001C1DC7" w:rsidRPr="007C780E" w:rsidRDefault="00D32E76" w:rsidP="00F8538E">
      <w:pPr>
        <w:pStyle w:val="liste"/>
      </w:pPr>
      <w:r w:rsidRPr="007C780E">
        <w:t xml:space="preserve">de </w:t>
      </w:r>
      <w:r w:rsidR="009E3CDF" w:rsidRPr="007C780E">
        <w:t>comprendre les mécanismes d’apparition de pathologies ma</w:t>
      </w:r>
      <w:r w:rsidR="00EF7BDB" w:rsidRPr="007C780E">
        <w:t xml:space="preserve">jeures et </w:t>
      </w:r>
      <w:r w:rsidRPr="007C780E">
        <w:t>d’</w:t>
      </w:r>
      <w:r w:rsidR="00EF7BDB" w:rsidRPr="007C780E">
        <w:t>aborder des éléments</w:t>
      </w:r>
      <w:r w:rsidR="009E3CDF" w:rsidRPr="007C780E">
        <w:t xml:space="preserve"> de leur diagnostic et de leurs traitements.</w:t>
      </w:r>
    </w:p>
    <w:p w:rsidR="001C1DC7" w:rsidRPr="007C780E" w:rsidRDefault="009E3CDF" w:rsidP="001200C9">
      <w:pPr>
        <w:pStyle w:val="Titre3"/>
        <w:spacing w:before="120" w:after="60"/>
      </w:pPr>
      <w:bookmarkStart w:id="54" w:name="_Toc525634485"/>
      <w:bookmarkStart w:id="55" w:name="_Toc525897041"/>
      <w:bookmarkStart w:id="56" w:name="_Toc8396285"/>
      <w:bookmarkStart w:id="57" w:name="_Toc8815409"/>
      <w:r w:rsidRPr="007C780E">
        <w:t xml:space="preserve">Présentation du programme de </w:t>
      </w:r>
      <w:r w:rsidR="003532E1" w:rsidRPr="007C780E">
        <w:t>la classe t</w:t>
      </w:r>
      <w:r w:rsidRPr="007C780E">
        <w:t>erminal</w:t>
      </w:r>
      <w:bookmarkEnd w:id="54"/>
      <w:bookmarkEnd w:id="55"/>
      <w:r w:rsidRPr="007C780E">
        <w:t>e</w:t>
      </w:r>
      <w:bookmarkEnd w:id="56"/>
      <w:bookmarkEnd w:id="57"/>
    </w:p>
    <w:p w:rsidR="009E3CDF" w:rsidRPr="007C780E" w:rsidRDefault="009E3CDF" w:rsidP="00F8538E">
      <w:r w:rsidRPr="007C780E">
        <w:t xml:space="preserve">Inscrit dans la continuité du programme de </w:t>
      </w:r>
      <w:r w:rsidR="00251402" w:rsidRPr="007C780E">
        <w:t xml:space="preserve">la classe de </w:t>
      </w:r>
      <w:r w:rsidRPr="007C780E">
        <w:t xml:space="preserve">première et </w:t>
      </w:r>
      <w:r w:rsidR="00B61663" w:rsidRPr="007C780E">
        <w:t xml:space="preserve">adoptant, dans son architecture, </w:t>
      </w:r>
      <w:r w:rsidRPr="007C780E">
        <w:t xml:space="preserve">le même esprit, le programme de la classe terminale traite de grandes fonctions physiologiques qui s’articulent </w:t>
      </w:r>
      <w:r w:rsidR="00B61663" w:rsidRPr="007C780E">
        <w:t xml:space="preserve">les unes avec les autres </w:t>
      </w:r>
      <w:r w:rsidRPr="007C780E">
        <w:t>et permettent d’aborder des problèmes actuels de santé publique</w:t>
      </w:r>
      <w:r w:rsidR="001C1DC7" w:rsidRPr="007C780E">
        <w:t> :</w:t>
      </w:r>
    </w:p>
    <w:p w:rsidR="001C1DC7" w:rsidRPr="007C780E" w:rsidRDefault="009E3CDF" w:rsidP="00F8538E">
      <w:pPr>
        <w:pStyle w:val="liste"/>
      </w:pPr>
      <w:r w:rsidRPr="007C780E">
        <w:rPr>
          <w:b/>
          <w:bCs/>
        </w:rPr>
        <w:t xml:space="preserve">« Fonctionnement intégré et </w:t>
      </w:r>
      <w:r w:rsidR="00ED6E57" w:rsidRPr="007C780E">
        <w:rPr>
          <w:b/>
          <w:bCs/>
        </w:rPr>
        <w:t>h</w:t>
      </w:r>
      <w:r w:rsidRPr="007C780E">
        <w:rPr>
          <w:b/>
          <w:bCs/>
        </w:rPr>
        <w:t>oméostasie »</w:t>
      </w:r>
      <w:r w:rsidRPr="007C780E">
        <w:rPr>
          <w:bCs/>
        </w:rPr>
        <w:t xml:space="preserve"> permet de comprendre </w:t>
      </w:r>
      <w:r w:rsidRPr="007C780E">
        <w:t>l’organisation hiérarchisée de l’organisme, son fonctionnement intégré ouvert sur son environnement et la nécessité de régulation.</w:t>
      </w:r>
    </w:p>
    <w:p w:rsidR="009E3CDF" w:rsidRPr="007C780E" w:rsidRDefault="009E3CDF" w:rsidP="00F8538E">
      <w:pPr>
        <w:pStyle w:val="liste"/>
        <w:rPr>
          <w:b/>
          <w:bCs/>
        </w:rPr>
      </w:pPr>
      <w:r w:rsidRPr="007C780E">
        <w:rPr>
          <w:b/>
          <w:bCs/>
        </w:rPr>
        <w:t>« Défense de l’organisme »</w:t>
      </w:r>
      <w:r w:rsidRPr="007C780E">
        <w:t xml:space="preserve"> permet</w:t>
      </w:r>
      <w:r w:rsidRPr="007C780E">
        <w:rPr>
          <w:color w:val="FF0000"/>
        </w:rPr>
        <w:t xml:space="preserve"> </w:t>
      </w:r>
      <w:r w:rsidRPr="007C780E">
        <w:t>de comprendre les mécanismes immunitaires mis en œuvre par l’organisme pour lutter contre le « non soi ». Il permet une ouverture vers des problèmes sanitaires et sociaux de dimension internationale (épidémie, accès aux médicaments, vaccination</w:t>
      </w:r>
      <w:r w:rsidR="003532E1" w:rsidRPr="007C780E">
        <w:t> </w:t>
      </w:r>
      <w:r w:rsidRPr="007C780E">
        <w:t>...).</w:t>
      </w:r>
    </w:p>
    <w:p w:rsidR="001C1DC7" w:rsidRPr="007C780E" w:rsidRDefault="00EF7BDB" w:rsidP="00F8538E">
      <w:pPr>
        <w:pStyle w:val="liste"/>
      </w:pPr>
      <w:r w:rsidRPr="007C780E">
        <w:rPr>
          <w:b/>
          <w:bCs/>
        </w:rPr>
        <w:t>« </w:t>
      </w:r>
      <w:r w:rsidR="009E3CDF" w:rsidRPr="007C780E">
        <w:rPr>
          <w:b/>
          <w:bCs/>
        </w:rPr>
        <w:t>Transmission de la vie et hérédité</w:t>
      </w:r>
      <w:r w:rsidR="009E3CDF" w:rsidRPr="007C780E">
        <w:t> » trouve une cohérence dans l’étude des caractères héréditaires et des mécanismes assurant leur transmission.</w:t>
      </w:r>
    </w:p>
    <w:p w:rsidR="001C1DC7" w:rsidRPr="007C780E" w:rsidRDefault="009E3CDF" w:rsidP="00F8538E">
      <w:r w:rsidRPr="007C780E">
        <w:t>L’étude de la terminologie s’appuie sur la liste suivante des principaux préfixes et suffixes</w:t>
      </w:r>
      <w:r w:rsidR="005422ED" w:rsidRPr="007C780E">
        <w:t xml:space="preserve"> et reprend</w:t>
      </w:r>
      <w:r w:rsidR="00A026C5" w:rsidRPr="007C780E">
        <w:t xml:space="preserve"> </w:t>
      </w:r>
      <w:r w:rsidR="005422ED" w:rsidRPr="007C780E">
        <w:t>les</w:t>
      </w:r>
      <w:r w:rsidR="00A026C5" w:rsidRPr="007C780E">
        <w:t xml:space="preserve"> </w:t>
      </w:r>
      <w:r w:rsidRPr="007C780E">
        <w:t>acquis de</w:t>
      </w:r>
      <w:r w:rsidR="00A026C5" w:rsidRPr="007C780E">
        <w:t xml:space="preserve"> la</w:t>
      </w:r>
      <w:r w:rsidRPr="007C780E">
        <w:t xml:space="preserve"> terminologie de la classe de première.</w:t>
      </w:r>
    </w:p>
    <w:p w:rsidR="009E3CDF" w:rsidRPr="00F8538E" w:rsidRDefault="009E3CDF" w:rsidP="00F8538E">
      <w:pPr>
        <w:rPr>
          <w:i/>
        </w:rPr>
      </w:pPr>
      <w:r w:rsidRPr="00F8538E">
        <w:rPr>
          <w:i/>
        </w:rPr>
        <w:t>Préfixes</w:t>
      </w:r>
      <w:r w:rsidR="001C1DC7" w:rsidRPr="00F8538E">
        <w:rPr>
          <w:i/>
        </w:rPr>
        <w:t> :</w:t>
      </w:r>
      <w:r w:rsidRPr="00F8538E">
        <w:rPr>
          <w:i/>
        </w:rPr>
        <w:t xml:space="preserve"> a, anti, </w:t>
      </w:r>
      <w:proofErr w:type="spellStart"/>
      <w:r w:rsidRPr="00F8538E">
        <w:rPr>
          <w:i/>
        </w:rPr>
        <w:t>brady</w:t>
      </w:r>
      <w:proofErr w:type="spellEnd"/>
      <w:r w:rsidRPr="00F8538E">
        <w:rPr>
          <w:i/>
        </w:rPr>
        <w:t xml:space="preserve">, </w:t>
      </w:r>
      <w:proofErr w:type="spellStart"/>
      <w:r w:rsidRPr="00F8538E">
        <w:rPr>
          <w:i/>
        </w:rPr>
        <w:t>dys</w:t>
      </w:r>
      <w:proofErr w:type="spellEnd"/>
      <w:r w:rsidRPr="00F8538E">
        <w:rPr>
          <w:i/>
        </w:rPr>
        <w:t xml:space="preserve">, en, </w:t>
      </w:r>
      <w:proofErr w:type="spellStart"/>
      <w:r w:rsidRPr="00F8538E">
        <w:rPr>
          <w:i/>
        </w:rPr>
        <w:t>endo</w:t>
      </w:r>
      <w:proofErr w:type="spellEnd"/>
      <w:r w:rsidRPr="00F8538E">
        <w:rPr>
          <w:i/>
        </w:rPr>
        <w:t xml:space="preserve">, eu, exo, hémi, hyper, hypo, macro, </w:t>
      </w:r>
      <w:proofErr w:type="spellStart"/>
      <w:r w:rsidRPr="00F8538E">
        <w:rPr>
          <w:i/>
        </w:rPr>
        <w:t>micro</w:t>
      </w:r>
      <w:proofErr w:type="gramStart"/>
      <w:r w:rsidRPr="00F8538E">
        <w:rPr>
          <w:i/>
        </w:rPr>
        <w:t>,néo</w:t>
      </w:r>
      <w:proofErr w:type="spellEnd"/>
      <w:proofErr w:type="gramEnd"/>
      <w:r w:rsidRPr="00F8538E">
        <w:rPr>
          <w:i/>
        </w:rPr>
        <w:t xml:space="preserve">, </w:t>
      </w:r>
      <w:proofErr w:type="spellStart"/>
      <w:r w:rsidRPr="00F8538E">
        <w:rPr>
          <w:i/>
        </w:rPr>
        <w:t>oligo</w:t>
      </w:r>
      <w:proofErr w:type="spellEnd"/>
      <w:r w:rsidRPr="00F8538E">
        <w:rPr>
          <w:i/>
        </w:rPr>
        <w:t xml:space="preserve">, poly, </w:t>
      </w:r>
      <w:proofErr w:type="spellStart"/>
      <w:r w:rsidRPr="00F8538E">
        <w:rPr>
          <w:i/>
        </w:rPr>
        <w:t>tachy</w:t>
      </w:r>
      <w:proofErr w:type="spellEnd"/>
      <w:r w:rsidR="00C91300" w:rsidRPr="00F8538E">
        <w:rPr>
          <w:i/>
        </w:rPr>
        <w:t>.</w:t>
      </w:r>
    </w:p>
    <w:p w:rsidR="001C1DC7" w:rsidRPr="00F8538E" w:rsidRDefault="009E3CDF" w:rsidP="00F8538E">
      <w:pPr>
        <w:rPr>
          <w:i/>
        </w:rPr>
      </w:pPr>
      <w:r w:rsidRPr="00F8538E">
        <w:rPr>
          <w:i/>
        </w:rPr>
        <w:t>Suffixes</w:t>
      </w:r>
      <w:r w:rsidR="001C1DC7" w:rsidRPr="00F8538E">
        <w:rPr>
          <w:i/>
        </w:rPr>
        <w:t> :</w:t>
      </w:r>
      <w:r w:rsidRPr="00F8538E">
        <w:rPr>
          <w:i/>
        </w:rPr>
        <w:t xml:space="preserve"> algie, </w:t>
      </w:r>
      <w:proofErr w:type="spellStart"/>
      <w:r w:rsidRPr="00F8538E">
        <w:rPr>
          <w:i/>
        </w:rPr>
        <w:t>centèse</w:t>
      </w:r>
      <w:proofErr w:type="spellEnd"/>
      <w:r w:rsidRPr="00F8538E">
        <w:rPr>
          <w:i/>
        </w:rPr>
        <w:t xml:space="preserve">, </w:t>
      </w:r>
      <w:proofErr w:type="spellStart"/>
      <w:r w:rsidRPr="00F8538E">
        <w:rPr>
          <w:i/>
        </w:rPr>
        <w:t>cide</w:t>
      </w:r>
      <w:proofErr w:type="spellEnd"/>
      <w:r w:rsidRPr="00F8538E">
        <w:rPr>
          <w:i/>
        </w:rPr>
        <w:t xml:space="preserve">, </w:t>
      </w:r>
      <w:proofErr w:type="spellStart"/>
      <w:r w:rsidRPr="00F8538E">
        <w:rPr>
          <w:i/>
        </w:rPr>
        <w:t>cyte</w:t>
      </w:r>
      <w:proofErr w:type="spellEnd"/>
      <w:r w:rsidRPr="00F8538E">
        <w:rPr>
          <w:i/>
        </w:rPr>
        <w:t xml:space="preserve">, ectasie, </w:t>
      </w:r>
      <w:proofErr w:type="spellStart"/>
      <w:r w:rsidRPr="00F8538E">
        <w:rPr>
          <w:i/>
        </w:rPr>
        <w:t>ectomie</w:t>
      </w:r>
      <w:proofErr w:type="spellEnd"/>
      <w:r w:rsidRPr="00F8538E">
        <w:rPr>
          <w:i/>
        </w:rPr>
        <w:t xml:space="preserve">, émie, gène, genèse, gramme, graphie, ite, </w:t>
      </w:r>
      <w:proofErr w:type="spellStart"/>
      <w:r w:rsidRPr="00F8538E">
        <w:rPr>
          <w:i/>
        </w:rPr>
        <w:t>logie</w:t>
      </w:r>
      <w:proofErr w:type="spellEnd"/>
      <w:r w:rsidRPr="00F8538E">
        <w:rPr>
          <w:i/>
        </w:rPr>
        <w:t xml:space="preserve">, lyse, </w:t>
      </w:r>
      <w:proofErr w:type="spellStart"/>
      <w:r w:rsidRPr="00F8538E">
        <w:rPr>
          <w:i/>
        </w:rPr>
        <w:t>mégalie</w:t>
      </w:r>
      <w:proofErr w:type="spellEnd"/>
      <w:r w:rsidRPr="00F8538E">
        <w:rPr>
          <w:i/>
        </w:rPr>
        <w:t xml:space="preserve">, </w:t>
      </w:r>
      <w:proofErr w:type="spellStart"/>
      <w:r w:rsidRPr="00F8538E">
        <w:rPr>
          <w:i/>
        </w:rPr>
        <w:t>ome</w:t>
      </w:r>
      <w:proofErr w:type="spellEnd"/>
      <w:r w:rsidRPr="00F8538E">
        <w:rPr>
          <w:i/>
        </w:rPr>
        <w:t xml:space="preserve">, ose, </w:t>
      </w:r>
      <w:proofErr w:type="spellStart"/>
      <w:r w:rsidRPr="00F8538E">
        <w:rPr>
          <w:i/>
        </w:rPr>
        <w:t>pathie</w:t>
      </w:r>
      <w:proofErr w:type="spellEnd"/>
      <w:r w:rsidRPr="00F8538E">
        <w:rPr>
          <w:i/>
        </w:rPr>
        <w:t xml:space="preserve">, </w:t>
      </w:r>
      <w:proofErr w:type="spellStart"/>
      <w:r w:rsidRPr="00F8538E">
        <w:rPr>
          <w:i/>
        </w:rPr>
        <w:t>pénie</w:t>
      </w:r>
      <w:proofErr w:type="spellEnd"/>
      <w:r w:rsidRPr="00F8538E">
        <w:rPr>
          <w:i/>
        </w:rPr>
        <w:t xml:space="preserve">, plastie, </w:t>
      </w:r>
      <w:proofErr w:type="spellStart"/>
      <w:r w:rsidRPr="00F8538E">
        <w:rPr>
          <w:i/>
        </w:rPr>
        <w:t>plégie</w:t>
      </w:r>
      <w:proofErr w:type="spellEnd"/>
      <w:r w:rsidRPr="00F8538E">
        <w:rPr>
          <w:i/>
        </w:rPr>
        <w:t xml:space="preserve">, </w:t>
      </w:r>
      <w:proofErr w:type="spellStart"/>
      <w:r w:rsidRPr="00F8538E">
        <w:rPr>
          <w:i/>
        </w:rPr>
        <w:t>rragie</w:t>
      </w:r>
      <w:proofErr w:type="spellEnd"/>
      <w:r w:rsidRPr="00F8538E">
        <w:rPr>
          <w:i/>
        </w:rPr>
        <w:t xml:space="preserve">, </w:t>
      </w:r>
      <w:proofErr w:type="spellStart"/>
      <w:r w:rsidRPr="00F8538E">
        <w:rPr>
          <w:i/>
        </w:rPr>
        <w:t>rrhée</w:t>
      </w:r>
      <w:proofErr w:type="spellEnd"/>
      <w:r w:rsidRPr="00F8538E">
        <w:rPr>
          <w:i/>
        </w:rPr>
        <w:t xml:space="preserve">, scopie, stomie, thérapie, </w:t>
      </w:r>
      <w:proofErr w:type="spellStart"/>
      <w:r w:rsidRPr="00F8538E">
        <w:rPr>
          <w:i/>
        </w:rPr>
        <w:t>tomie</w:t>
      </w:r>
      <w:proofErr w:type="spellEnd"/>
      <w:r w:rsidRPr="00F8538E">
        <w:rPr>
          <w:i/>
        </w:rPr>
        <w:t xml:space="preserve">, </w:t>
      </w:r>
      <w:proofErr w:type="spellStart"/>
      <w:r w:rsidRPr="00F8538E">
        <w:rPr>
          <w:i/>
        </w:rPr>
        <w:t>trophie</w:t>
      </w:r>
      <w:proofErr w:type="spellEnd"/>
      <w:r w:rsidRPr="00F8538E">
        <w:rPr>
          <w:i/>
        </w:rPr>
        <w:t xml:space="preserve">, </w:t>
      </w:r>
      <w:proofErr w:type="spellStart"/>
      <w:r w:rsidRPr="00F8538E">
        <w:rPr>
          <w:i/>
        </w:rPr>
        <w:t>urie</w:t>
      </w:r>
      <w:proofErr w:type="spellEnd"/>
      <w:r w:rsidR="00C91300" w:rsidRPr="00F8538E">
        <w:rPr>
          <w:i/>
        </w:rPr>
        <w:t>.</w:t>
      </w:r>
    </w:p>
    <w:p w:rsidR="001C1DC7" w:rsidRPr="007C780E" w:rsidRDefault="009E3CDF" w:rsidP="00720A6A">
      <w:pPr>
        <w:pStyle w:val="Titre3"/>
        <w:spacing w:before="100" w:beforeAutospacing="1" w:after="60"/>
      </w:pPr>
      <w:bookmarkStart w:id="58" w:name="_Toc8396286"/>
      <w:bookmarkStart w:id="59" w:name="_Toc8815410"/>
      <w:r w:rsidRPr="007C780E">
        <w:lastRenderedPageBreak/>
        <w:t>C</w:t>
      </w:r>
      <w:r w:rsidR="003532E1" w:rsidRPr="007C780E">
        <w:t xml:space="preserve">ontenus </w:t>
      </w:r>
      <w:bookmarkEnd w:id="58"/>
      <w:bookmarkEnd w:id="59"/>
      <w:r w:rsidR="00633837" w:rsidRPr="007C780E">
        <w:t>d’enseignement</w:t>
      </w:r>
    </w:p>
    <w:p w:rsidR="00326C84" w:rsidRPr="007C780E" w:rsidRDefault="009E3CDF" w:rsidP="00AC105B">
      <w:pPr>
        <w:pStyle w:val="Titre4"/>
        <w:spacing w:before="0"/>
        <w:rPr>
          <w:rFonts w:eastAsia="Calibri"/>
        </w:rPr>
      </w:pPr>
      <w:bookmarkStart w:id="60" w:name="_Toc8396287"/>
      <w:bookmarkStart w:id="61" w:name="_Toc8815411"/>
      <w:bookmarkStart w:id="62" w:name="_Toc8816202"/>
      <w:r w:rsidRPr="007C780E">
        <w:rPr>
          <w:rFonts w:eastAsia="Calibri"/>
        </w:rPr>
        <w:t>Milieu intérieur et homéostasie</w:t>
      </w:r>
      <w:bookmarkEnd w:id="60"/>
      <w:bookmarkEnd w:id="61"/>
      <w:bookmarkEnd w:id="62"/>
      <w:r w:rsidR="00D92666" w:rsidRPr="007C780E">
        <w:rPr>
          <w:rFonts w:eastAsia="Calibri"/>
        </w:rPr>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268"/>
        <w:gridCol w:w="5860"/>
      </w:tblGrid>
      <w:tr w:rsidR="009E3CDF" w:rsidRPr="00AC105B" w:rsidTr="00AC105B">
        <w:trPr>
          <w:trHeight w:val="20"/>
        </w:trPr>
        <w:tc>
          <w:tcPr>
            <w:tcW w:w="3400" w:type="dxa"/>
            <w:tcBorders>
              <w:top w:val="single" w:sz="2" w:space="0" w:color="000000"/>
              <w:left w:val="single" w:sz="2" w:space="0" w:color="000000"/>
              <w:bottom w:val="single" w:sz="2" w:space="0" w:color="000000"/>
              <w:right w:val="nil"/>
            </w:tcBorders>
            <w:shd w:val="clear" w:color="auto" w:fill="auto"/>
            <w:vAlign w:val="center"/>
            <w:hideMark/>
          </w:tcPr>
          <w:p w:rsidR="009E3CDF" w:rsidRPr="00AC105B" w:rsidRDefault="009E3CDF" w:rsidP="001200C9">
            <w:pPr>
              <w:pStyle w:val="Titre5tableau"/>
              <w:spacing w:before="20" w:after="20"/>
            </w:pPr>
            <w:r w:rsidRPr="00AC105B">
              <w:t>Notions et contenus</w:t>
            </w:r>
          </w:p>
        </w:tc>
        <w:tc>
          <w:tcPr>
            <w:tcW w:w="609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E3CDF" w:rsidRPr="00AC105B" w:rsidRDefault="009E3CDF" w:rsidP="001200C9">
            <w:pPr>
              <w:pStyle w:val="Titre5tableau"/>
              <w:spacing w:before="20" w:after="20"/>
            </w:pPr>
            <w:r w:rsidRPr="00AC105B">
              <w:t>Capacités exigibles</w:t>
            </w:r>
          </w:p>
          <w:p w:rsidR="009E3CDF" w:rsidRPr="00AC105B" w:rsidRDefault="009E3CDF" w:rsidP="001200C9">
            <w:pPr>
              <w:pStyle w:val="Titre5tableau"/>
              <w:spacing w:before="20" w:after="20"/>
            </w:pPr>
            <w:r w:rsidRPr="00AC105B">
              <w:rPr>
                <w:i/>
              </w:rPr>
              <w:t>Activités technologiques support de la formation</w:t>
            </w:r>
          </w:p>
        </w:tc>
      </w:tr>
      <w:tr w:rsidR="008B2B5E" w:rsidRPr="00AC105B" w:rsidTr="00AC105B">
        <w:trPr>
          <w:trHeight w:val="2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Pr>
          <w:p w:rsidR="008B2B5E" w:rsidRPr="00AC105B" w:rsidRDefault="008B2B5E" w:rsidP="00AC105B">
            <w:pPr>
              <w:pStyle w:val="Titre4tableau"/>
            </w:pPr>
            <w:r w:rsidRPr="00AC105B">
              <w:t>Comment l’équilibre du milieu intérieur est-il maintenu</w:t>
            </w:r>
            <w:r w:rsidR="001C1DC7" w:rsidRPr="00AC105B">
              <w:t> ?</w:t>
            </w:r>
          </w:p>
          <w:p w:rsidR="008B2B5E" w:rsidRPr="00AC105B" w:rsidRDefault="008B2B5E" w:rsidP="00AC105B">
            <w:pPr>
              <w:pStyle w:val="Titre4tableau"/>
            </w:pPr>
            <w:r w:rsidRPr="00AC105B">
              <w:t>Quelles peuvent être les causes et les conséquences d’un déséquilibre du milieu intérieur</w:t>
            </w:r>
            <w:r w:rsidR="001C1DC7" w:rsidRPr="00AC105B">
              <w:t> ?</w:t>
            </w:r>
          </w:p>
        </w:tc>
      </w:tr>
      <w:tr w:rsidR="009E3CDF" w:rsidRPr="00AC105B" w:rsidTr="00AC105B">
        <w:trPr>
          <w:trHeight w:val="20"/>
        </w:trPr>
        <w:tc>
          <w:tcPr>
            <w:tcW w:w="3400" w:type="dxa"/>
            <w:tcBorders>
              <w:top w:val="single" w:sz="2" w:space="0" w:color="000000"/>
              <w:left w:val="single" w:sz="2" w:space="0" w:color="000000"/>
              <w:bottom w:val="single" w:sz="2" w:space="0" w:color="000000"/>
              <w:right w:val="nil"/>
            </w:tcBorders>
            <w:shd w:val="clear" w:color="auto" w:fill="auto"/>
          </w:tcPr>
          <w:p w:rsidR="00AC105B" w:rsidRDefault="009E3CDF" w:rsidP="00AC105B">
            <w:pPr>
              <w:pStyle w:val="Titre5tableau"/>
              <w:keepNext w:val="0"/>
            </w:pPr>
            <w:r w:rsidRPr="00AC105B">
              <w:t>Milieu</w:t>
            </w:r>
            <w:r w:rsidR="003532E1" w:rsidRPr="00AC105B">
              <w:t xml:space="preserve"> intérieur et compartimentation.</w:t>
            </w:r>
          </w:p>
          <w:p w:rsidR="00AC105B" w:rsidRPr="00AC105B" w:rsidRDefault="00AC105B" w:rsidP="00AC105B">
            <w:pPr>
              <w:pStyle w:val="Titre5tableau"/>
              <w:keepNext w:val="0"/>
            </w:pPr>
          </w:p>
          <w:p w:rsidR="001C1DC7" w:rsidRDefault="009E3CDF" w:rsidP="00AC105B">
            <w:pPr>
              <w:pStyle w:val="Titre5tableau"/>
            </w:pPr>
            <w:r w:rsidRPr="00AC105B">
              <w:t>Rôle du rein dans la régulation du milieu intérieur</w:t>
            </w:r>
            <w:r w:rsidR="003532E1" w:rsidRPr="00AC105B">
              <w:t>.</w:t>
            </w:r>
          </w:p>
          <w:p w:rsidR="00AC105B" w:rsidRPr="00AC105B" w:rsidRDefault="00AC105B" w:rsidP="00AC105B">
            <w:pPr>
              <w:pStyle w:val="Titre5tableau"/>
            </w:pPr>
            <w:r>
              <w:br/>
            </w:r>
          </w:p>
          <w:p w:rsidR="009E3CDF" w:rsidRPr="00AC105B" w:rsidRDefault="009E3CDF" w:rsidP="00AC105B">
            <w:pPr>
              <w:pStyle w:val="Titre5tableau"/>
            </w:pPr>
            <w:r w:rsidRPr="00AC105B">
              <w:t>Rôle du pancréas dans la régulation du milieu intérieur</w:t>
            </w:r>
            <w:r w:rsidR="001C1DC7" w:rsidRPr="00AC105B">
              <w:t> :</w:t>
            </w:r>
            <w:r w:rsidRPr="00AC105B">
              <w:t xml:space="preserve"> la régulation de la glycémie</w:t>
            </w:r>
            <w:r w:rsidR="003532E1" w:rsidRPr="00AC105B">
              <w:t>.</w:t>
            </w:r>
          </w:p>
          <w:p w:rsidR="009E3CDF" w:rsidRPr="00AC105B" w:rsidRDefault="009E3CDF" w:rsidP="00AC105B">
            <w:pPr>
              <w:pStyle w:val="Contenudetableau"/>
            </w:pPr>
            <w:r w:rsidRPr="00AC105B">
              <w:t xml:space="preserve">Glycémie </w:t>
            </w:r>
            <w:proofErr w:type="spellStart"/>
            <w:r w:rsidRPr="00AC105B">
              <w:t>post-prandiale</w:t>
            </w:r>
            <w:proofErr w:type="spellEnd"/>
            <w:r w:rsidR="003532E1" w:rsidRPr="00AC105B">
              <w:t>.</w:t>
            </w:r>
          </w:p>
          <w:p w:rsidR="009E3CDF" w:rsidRPr="00AC105B" w:rsidRDefault="009E3CDF" w:rsidP="00AC105B">
            <w:pPr>
              <w:pStyle w:val="Contenudetableau"/>
            </w:pPr>
            <w:r w:rsidRPr="00AC105B">
              <w:t>Glycémie à jeun</w:t>
            </w:r>
            <w:r w:rsidR="003532E1" w:rsidRPr="00AC105B">
              <w:t>.</w:t>
            </w:r>
          </w:p>
          <w:p w:rsidR="009E3CDF" w:rsidRPr="00AC105B" w:rsidRDefault="00E10257" w:rsidP="00AC105B">
            <w:pPr>
              <w:pStyle w:val="Contenudetableau"/>
            </w:pPr>
            <w:r>
              <w:t>É</w:t>
            </w:r>
            <w:r w:rsidR="009E3CDF" w:rsidRPr="00AC105B">
              <w:t>quilibre dynamique</w:t>
            </w:r>
            <w:r w:rsidR="003532E1" w:rsidRPr="00AC105B">
              <w:t>.</w:t>
            </w:r>
          </w:p>
          <w:p w:rsidR="00AC105B" w:rsidRPr="00AC105B" w:rsidRDefault="003532E1" w:rsidP="00AC105B">
            <w:pPr>
              <w:pStyle w:val="Contenudetableau"/>
            </w:pPr>
            <w:r w:rsidRPr="00AC105B">
              <w:t>Homéostasie.</w:t>
            </w:r>
            <w:r w:rsidR="00AC105B">
              <w:br/>
            </w:r>
            <w:r w:rsidR="00AC105B">
              <w:br/>
            </w:r>
            <w:r w:rsidR="00AC105B">
              <w:br/>
            </w:r>
          </w:p>
          <w:p w:rsidR="009E3CDF" w:rsidRPr="00AC105B" w:rsidRDefault="009E3CDF" w:rsidP="00AC105B">
            <w:pPr>
              <w:pStyle w:val="Titre5tableau"/>
            </w:pPr>
            <w:r w:rsidRPr="00AC105B">
              <w:t>Exemples de pathologie de la régulation du milieu intérieur</w:t>
            </w:r>
            <w:r w:rsidR="001C1DC7" w:rsidRPr="00AC105B">
              <w:t> :</w:t>
            </w:r>
            <w:r w:rsidRPr="00AC105B">
              <w:t xml:space="preserve"> les diabètes de type 1 et de type 2</w:t>
            </w:r>
            <w:r w:rsidR="003532E1" w:rsidRPr="00AC105B">
              <w:t>.</w:t>
            </w:r>
          </w:p>
          <w:p w:rsidR="009E3CDF" w:rsidRPr="00AC105B" w:rsidRDefault="003532E1" w:rsidP="00AC105B">
            <w:pPr>
              <w:pStyle w:val="Contenudetableau"/>
              <w:rPr>
                <w:color w:val="00000A"/>
              </w:rPr>
            </w:pPr>
            <w:r w:rsidRPr="00AC105B">
              <w:rPr>
                <w:color w:val="00000A"/>
              </w:rPr>
              <w:t>É</w:t>
            </w:r>
            <w:r w:rsidR="009E3CDF" w:rsidRPr="00AC105B">
              <w:rPr>
                <w:color w:val="00000A"/>
              </w:rPr>
              <w:t>tiologie</w:t>
            </w:r>
            <w:r w:rsidRPr="00AC105B">
              <w:rPr>
                <w:color w:val="00000A"/>
              </w:rPr>
              <w:t>.</w:t>
            </w:r>
          </w:p>
          <w:p w:rsidR="009E3CDF" w:rsidRPr="00AC105B" w:rsidRDefault="009E3CDF" w:rsidP="00AC105B">
            <w:pPr>
              <w:pStyle w:val="Contenudetableau"/>
              <w:rPr>
                <w:color w:val="00000A"/>
              </w:rPr>
            </w:pPr>
            <w:r w:rsidRPr="00AC105B">
              <w:rPr>
                <w:color w:val="00000A"/>
              </w:rPr>
              <w:t>Diagnostic</w:t>
            </w:r>
            <w:r w:rsidR="003532E1" w:rsidRPr="00AC105B">
              <w:rPr>
                <w:color w:val="00000A"/>
              </w:rPr>
              <w:t>.</w:t>
            </w:r>
          </w:p>
          <w:p w:rsidR="009E3CDF" w:rsidRPr="00AC105B" w:rsidRDefault="009E3CDF" w:rsidP="00AC105B">
            <w:pPr>
              <w:pStyle w:val="Contenudetableau"/>
              <w:rPr>
                <w:color w:val="00000A"/>
              </w:rPr>
            </w:pPr>
            <w:r w:rsidRPr="00AC105B">
              <w:rPr>
                <w:color w:val="00000A"/>
              </w:rPr>
              <w:t>Conséquences</w:t>
            </w:r>
            <w:r w:rsidR="003532E1" w:rsidRPr="00AC105B">
              <w:rPr>
                <w:color w:val="00000A"/>
              </w:rPr>
              <w:t>.</w:t>
            </w:r>
          </w:p>
          <w:p w:rsidR="001C1DC7" w:rsidRDefault="009E3CDF" w:rsidP="00AC105B">
            <w:pPr>
              <w:pStyle w:val="Contenudetableau"/>
              <w:rPr>
                <w:color w:val="00000A"/>
              </w:rPr>
            </w:pPr>
            <w:r w:rsidRPr="00AC105B">
              <w:rPr>
                <w:color w:val="00000A"/>
              </w:rPr>
              <w:t>Traitements et prévention</w:t>
            </w:r>
            <w:r w:rsidR="003532E1" w:rsidRPr="00AC105B">
              <w:rPr>
                <w:color w:val="00000A"/>
              </w:rPr>
              <w:t>.</w:t>
            </w:r>
          </w:p>
          <w:p w:rsidR="00AC105B" w:rsidRDefault="00AC105B" w:rsidP="00AC105B">
            <w:pPr>
              <w:pStyle w:val="Contenudetableau"/>
              <w:rPr>
                <w:color w:val="00000A"/>
              </w:rPr>
            </w:pPr>
            <w:r>
              <w:rPr>
                <w:color w:val="00000A"/>
              </w:rPr>
              <w:br/>
            </w:r>
            <w:r>
              <w:rPr>
                <w:color w:val="00000A"/>
              </w:rPr>
              <w:br/>
            </w:r>
            <w:r>
              <w:rPr>
                <w:color w:val="00000A"/>
              </w:rPr>
              <w:br/>
            </w:r>
          </w:p>
          <w:p w:rsidR="00AC105B" w:rsidRDefault="00AC105B" w:rsidP="00AC105B">
            <w:pPr>
              <w:pStyle w:val="Contenudetableau"/>
              <w:rPr>
                <w:color w:val="00000A"/>
              </w:rPr>
            </w:pPr>
          </w:p>
          <w:p w:rsidR="00AC105B" w:rsidRPr="00AC105B" w:rsidRDefault="00AC105B" w:rsidP="00AC105B">
            <w:pPr>
              <w:pStyle w:val="Contenudetableau"/>
              <w:rPr>
                <w:color w:val="00000A"/>
              </w:rPr>
            </w:pPr>
          </w:p>
          <w:p w:rsidR="009E3CDF" w:rsidRPr="00AC105B" w:rsidRDefault="009E3CDF" w:rsidP="00AC105B">
            <w:pPr>
              <w:pStyle w:val="Titre5tableau"/>
            </w:pPr>
            <w:r w:rsidRPr="00AC105B">
              <w:t>Exemple de perturbations du milieu intérieur par des xénobiotiques</w:t>
            </w:r>
            <w:r w:rsidR="003532E1" w:rsidRPr="00AC105B">
              <w:t>.</w:t>
            </w:r>
          </w:p>
        </w:tc>
        <w:tc>
          <w:tcPr>
            <w:tcW w:w="6098" w:type="dxa"/>
            <w:tcBorders>
              <w:top w:val="single" w:sz="2" w:space="0" w:color="000000"/>
              <w:left w:val="single" w:sz="2" w:space="0" w:color="000000"/>
              <w:bottom w:val="single" w:sz="2" w:space="0" w:color="000000"/>
              <w:right w:val="single" w:sz="2" w:space="0" w:color="000000"/>
            </w:tcBorders>
            <w:shd w:val="clear" w:color="auto" w:fill="auto"/>
          </w:tcPr>
          <w:p w:rsidR="009E3CDF" w:rsidRPr="00AC105B" w:rsidRDefault="009E3CDF" w:rsidP="00AC105B">
            <w:pPr>
              <w:pStyle w:val="Contenudetableau"/>
            </w:pPr>
            <w:r w:rsidRPr="00AC105B">
              <w:t>Distinguer les différents compartiments liquidiens.</w:t>
            </w:r>
          </w:p>
          <w:p w:rsidR="001C1DC7" w:rsidRPr="00AC105B" w:rsidRDefault="009E3CDF" w:rsidP="00AC105B">
            <w:pPr>
              <w:pStyle w:val="Contenudetableau"/>
            </w:pPr>
            <w:r w:rsidRPr="00AC105B">
              <w:t>Repérer l’existence d’échanges entre les différents compartiments et le milieu extérieur.</w:t>
            </w:r>
          </w:p>
          <w:p w:rsidR="009E3CDF" w:rsidRPr="00AC105B" w:rsidRDefault="009E3CDF" w:rsidP="00AC105B">
            <w:pPr>
              <w:pStyle w:val="Contenudetableau"/>
            </w:pPr>
            <w:r w:rsidRPr="00AC105B">
              <w:t>Identifier les principaux éléments de l’appareil urinaire. Localiser les néphrons au niveau du rein.</w:t>
            </w:r>
          </w:p>
          <w:p w:rsidR="001C1DC7" w:rsidRPr="00AC105B" w:rsidRDefault="009E3CDF" w:rsidP="00AC105B">
            <w:pPr>
              <w:pStyle w:val="Contenudetableau"/>
            </w:pPr>
            <w:r w:rsidRPr="00AC105B">
              <w:t>Comparer la composition du plasma, de l’urine primitive et de l’urine définitive</w:t>
            </w:r>
            <w:r w:rsidR="001C1DC7" w:rsidRPr="00AC105B">
              <w:t> ;</w:t>
            </w:r>
            <w:r w:rsidRPr="00AC105B">
              <w:t xml:space="preserve"> en déduire les fonctions du néphron.</w:t>
            </w:r>
          </w:p>
          <w:p w:rsidR="009E3CDF" w:rsidRPr="00AC105B" w:rsidRDefault="009E3CDF" w:rsidP="00AC105B">
            <w:pPr>
              <w:pStyle w:val="Contenudetableau"/>
            </w:pPr>
            <w:r w:rsidRPr="00AC105B">
              <w:t>Mettre</w:t>
            </w:r>
            <w:r w:rsidR="00EF7BDB" w:rsidRPr="00AC105B">
              <w:t xml:space="preserve"> en évidence l’existence d’une </w:t>
            </w:r>
            <w:r w:rsidRPr="00AC105B">
              <w:t>régulation de la glycémie et le rôle central des hormones du pa</w:t>
            </w:r>
            <w:r w:rsidR="00EF7BDB" w:rsidRPr="00AC105B">
              <w:t>ncréas dans cette régulation.</w:t>
            </w:r>
          </w:p>
          <w:p w:rsidR="009E3CDF" w:rsidRPr="00AC105B" w:rsidRDefault="009E3CDF" w:rsidP="00AC105B">
            <w:pPr>
              <w:pStyle w:val="Contenudetableau"/>
            </w:pPr>
            <w:r w:rsidRPr="00AC105B">
              <w:t>Construire un schéma présentant les acteurs et les mécanismes de la régulation de la glycémie.</w:t>
            </w:r>
          </w:p>
          <w:p w:rsidR="001C1DC7" w:rsidRPr="00AC105B" w:rsidRDefault="00EF7BDB" w:rsidP="00AC105B">
            <w:pPr>
              <w:pStyle w:val="Contenudetableau"/>
            </w:pPr>
            <w:r w:rsidRPr="00AC105B">
              <w:t>Présenter les</w:t>
            </w:r>
            <w:r w:rsidR="009E3CDF" w:rsidRPr="00AC105B">
              <w:t xml:space="preserve"> no</w:t>
            </w:r>
            <w:r w:rsidRPr="00AC105B">
              <w:t xml:space="preserve">tions d’hormone et </w:t>
            </w:r>
            <w:r w:rsidR="009E3CDF" w:rsidRPr="00AC105B">
              <w:t>d’homéostasie.</w:t>
            </w:r>
          </w:p>
          <w:p w:rsidR="009E3CDF" w:rsidRPr="00AC105B" w:rsidRDefault="009E3CDF" w:rsidP="00AC105B">
            <w:pPr>
              <w:pStyle w:val="Contenudetableau"/>
              <w:rPr>
                <w:i/>
              </w:rPr>
            </w:pPr>
            <w:r w:rsidRPr="00AC105B">
              <w:rPr>
                <w:i/>
              </w:rPr>
              <w:t xml:space="preserve">Observation </w:t>
            </w:r>
            <w:r w:rsidR="00881C6F" w:rsidRPr="00AC105B">
              <w:rPr>
                <w:i/>
              </w:rPr>
              <w:t xml:space="preserve">au </w:t>
            </w:r>
            <w:r w:rsidRPr="00AC105B">
              <w:rPr>
                <w:i/>
              </w:rPr>
              <w:t>microscope de coupes de pancréas normal.</w:t>
            </w:r>
          </w:p>
          <w:p w:rsidR="001C1DC7" w:rsidRPr="00AC105B" w:rsidRDefault="009E3CDF" w:rsidP="00AC105B">
            <w:pPr>
              <w:pStyle w:val="Contenudetableau"/>
              <w:rPr>
                <w:i/>
              </w:rPr>
            </w:pPr>
            <w:r w:rsidRPr="00AC105B">
              <w:rPr>
                <w:i/>
              </w:rPr>
              <w:t>Réalisation d’expériences mettant en évidence la fonction de stockage du glucose par le foie.</w:t>
            </w:r>
          </w:p>
          <w:p w:rsidR="001C1DC7" w:rsidRPr="00AC105B" w:rsidRDefault="009E3CDF" w:rsidP="00AC105B">
            <w:pPr>
              <w:pStyle w:val="Contenudetableau"/>
            </w:pPr>
            <w:r w:rsidRPr="00AC105B">
              <w:t>Comparer les signes cliniques et paracliniques des deux types de diabète.</w:t>
            </w:r>
          </w:p>
          <w:p w:rsidR="009E3CDF" w:rsidRPr="00AC105B" w:rsidRDefault="009E3CDF" w:rsidP="00AC105B">
            <w:pPr>
              <w:pStyle w:val="Contenudetableau"/>
            </w:pPr>
            <w:r w:rsidRPr="00AC105B">
              <w:t>Relier hyperglycémie, glycosurie, polyurie et polydipsie.</w:t>
            </w:r>
          </w:p>
          <w:p w:rsidR="009E3CDF" w:rsidRPr="00AC105B" w:rsidRDefault="009E3CDF" w:rsidP="00AC105B">
            <w:pPr>
              <w:pStyle w:val="Contenudetableau"/>
            </w:pPr>
            <w:r w:rsidRPr="00AC105B">
              <w:t>Expliquer l’origine de l’hyperglycémie pour chaque type de diabète.</w:t>
            </w:r>
          </w:p>
          <w:p w:rsidR="009E3CDF" w:rsidRPr="00AC105B" w:rsidRDefault="009E3CDF" w:rsidP="00AC105B">
            <w:pPr>
              <w:pStyle w:val="Contenudetableau"/>
            </w:pPr>
            <w:r w:rsidRPr="00AC105B">
              <w:t>Identifier les facteurs de risque, faire le lien avec les démarches de prévention.</w:t>
            </w:r>
          </w:p>
          <w:p w:rsidR="009E3CDF" w:rsidRPr="00AC105B" w:rsidRDefault="009E3CDF" w:rsidP="00AC105B">
            <w:pPr>
              <w:pStyle w:val="Contenudetableau"/>
            </w:pPr>
            <w:r w:rsidRPr="00AC105B">
              <w:t>Citer les principales conséquences pathologiques des diabètes.</w:t>
            </w:r>
          </w:p>
          <w:p w:rsidR="009E3CDF" w:rsidRPr="00AC105B" w:rsidRDefault="009E3CDF" w:rsidP="00AC105B">
            <w:pPr>
              <w:pStyle w:val="Contenudetableau"/>
            </w:pPr>
            <w:r w:rsidRPr="00AC105B">
              <w:t>Relier les principaux traitements à l’étiologie ou aux facteurs de risque.</w:t>
            </w:r>
          </w:p>
          <w:p w:rsidR="009E3CDF" w:rsidRPr="00AC105B" w:rsidRDefault="009E3CDF" w:rsidP="00AC105B">
            <w:pPr>
              <w:pStyle w:val="Contenudetableau"/>
              <w:rPr>
                <w:i/>
              </w:rPr>
            </w:pPr>
            <w:r w:rsidRPr="00AC105B">
              <w:rPr>
                <w:i/>
              </w:rPr>
              <w:t xml:space="preserve">Observation </w:t>
            </w:r>
            <w:r w:rsidR="00881C6F" w:rsidRPr="00AC105B">
              <w:rPr>
                <w:i/>
              </w:rPr>
              <w:t xml:space="preserve">au </w:t>
            </w:r>
            <w:r w:rsidRPr="00AC105B">
              <w:rPr>
                <w:i/>
              </w:rPr>
              <w:t>microscope de coupes de pancréas pathologique.</w:t>
            </w:r>
          </w:p>
          <w:p w:rsidR="001C1DC7" w:rsidRPr="00AC105B" w:rsidRDefault="009E3CDF" w:rsidP="00AC105B">
            <w:pPr>
              <w:pStyle w:val="Contenudetableau"/>
              <w:rPr>
                <w:i/>
              </w:rPr>
            </w:pPr>
            <w:r w:rsidRPr="00AC105B">
              <w:rPr>
                <w:i/>
              </w:rPr>
              <w:t>Réalisation d’un dosage du glucose.</w:t>
            </w:r>
          </w:p>
          <w:p w:rsidR="001C1DC7" w:rsidRPr="00AC105B" w:rsidRDefault="009E3CDF" w:rsidP="00AC105B">
            <w:pPr>
              <w:pStyle w:val="Contenudetableau"/>
            </w:pPr>
            <w:r w:rsidRPr="00AC105B">
              <w:t>Citer des exemples de xénobiotiques.</w:t>
            </w:r>
          </w:p>
          <w:p w:rsidR="009E3CDF" w:rsidRPr="00AC105B" w:rsidRDefault="009E3CDF" w:rsidP="00AC105B">
            <w:pPr>
              <w:pStyle w:val="Contenudetableau"/>
            </w:pPr>
            <w:r w:rsidRPr="00AC105B">
              <w:t>Repérer les conséquences de l’action d’un xénobiotique dans l’organisme.</w:t>
            </w:r>
          </w:p>
          <w:p w:rsidR="009E3CDF" w:rsidRPr="00AC105B" w:rsidRDefault="009E3CDF" w:rsidP="00AC105B">
            <w:pPr>
              <w:pStyle w:val="Contenudetableau"/>
            </w:pPr>
            <w:r w:rsidRPr="00AC105B">
              <w:t xml:space="preserve">Décrire le devenir d’un </w:t>
            </w:r>
            <w:r w:rsidR="00EF7BDB" w:rsidRPr="00AC105B">
              <w:t>xénobiotique</w:t>
            </w:r>
            <w:r w:rsidRPr="00AC105B">
              <w:t xml:space="preserve"> (absorption, distribution, métabolisme, stockage, élimination).</w:t>
            </w:r>
          </w:p>
        </w:tc>
      </w:tr>
      <w:tr w:rsidR="009E3CDF" w:rsidRPr="00AC105B" w:rsidTr="00AC105B">
        <w:trPr>
          <w:trHeight w:val="20"/>
        </w:trPr>
        <w:tc>
          <w:tcPr>
            <w:tcW w:w="949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hideMark/>
          </w:tcPr>
          <w:p w:rsidR="009E3CDF" w:rsidRPr="00AC105B" w:rsidRDefault="009E3CDF" w:rsidP="00AC105B">
            <w:pPr>
              <w:pStyle w:val="Contenudetableau"/>
            </w:pPr>
            <w:r w:rsidRPr="00AC105B">
              <w:rPr>
                <w:b/>
              </w:rPr>
              <w:t>Racines</w:t>
            </w:r>
            <w:r w:rsidR="001C1DC7" w:rsidRPr="00AC105B">
              <w:rPr>
                <w:b/>
              </w:rPr>
              <w:t> :</w:t>
            </w:r>
            <w:r w:rsidRPr="00AC105B">
              <w:rPr>
                <w:b/>
              </w:rPr>
              <w:t xml:space="preserve"> </w:t>
            </w:r>
            <w:proofErr w:type="spellStart"/>
            <w:r w:rsidRPr="00AC105B">
              <w:t>glyco</w:t>
            </w:r>
            <w:proofErr w:type="spellEnd"/>
            <w:r w:rsidRPr="00AC105B">
              <w:t>,</w:t>
            </w:r>
            <w:r w:rsidRPr="00AC105B">
              <w:rPr>
                <w:b/>
              </w:rPr>
              <w:t xml:space="preserve"> </w:t>
            </w:r>
            <w:proofErr w:type="spellStart"/>
            <w:r w:rsidRPr="00AC105B">
              <w:t>glycogéno</w:t>
            </w:r>
            <w:proofErr w:type="spellEnd"/>
            <w:r w:rsidRPr="00AC105B">
              <w:rPr>
                <w:b/>
              </w:rPr>
              <w:t xml:space="preserve">, </w:t>
            </w:r>
            <w:proofErr w:type="spellStart"/>
            <w:r w:rsidRPr="00AC105B">
              <w:t>insulino</w:t>
            </w:r>
            <w:proofErr w:type="spellEnd"/>
            <w:r w:rsidRPr="00AC105B">
              <w:t xml:space="preserve">, </w:t>
            </w:r>
            <w:proofErr w:type="spellStart"/>
            <w:r w:rsidRPr="00AC105B">
              <w:t>néphro</w:t>
            </w:r>
            <w:proofErr w:type="spellEnd"/>
            <w:r w:rsidRPr="00AC105B">
              <w:t xml:space="preserve">, </w:t>
            </w:r>
            <w:proofErr w:type="spellStart"/>
            <w:r w:rsidRPr="00AC105B">
              <w:t>uro</w:t>
            </w:r>
            <w:proofErr w:type="spellEnd"/>
            <w:r w:rsidRPr="00AC105B">
              <w:t>, xéno</w:t>
            </w:r>
            <w:r w:rsidR="004F7A54" w:rsidRPr="00AC105B">
              <w:t>.</w:t>
            </w:r>
          </w:p>
        </w:tc>
      </w:tr>
      <w:tr w:rsidR="009E3CDF" w:rsidRPr="00AC105B" w:rsidTr="00AC105B">
        <w:trPr>
          <w:trHeight w:val="20"/>
        </w:trPr>
        <w:tc>
          <w:tcPr>
            <w:tcW w:w="949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hideMark/>
          </w:tcPr>
          <w:p w:rsidR="009E3CDF" w:rsidRPr="00AC105B" w:rsidRDefault="009E3CDF" w:rsidP="00AC105B">
            <w:pPr>
              <w:pStyle w:val="Contenudetableau"/>
              <w:rPr>
                <w:color w:val="0070C0"/>
              </w:rPr>
            </w:pPr>
            <w:bookmarkStart w:id="63" w:name="_Toc398645001"/>
            <w:bookmarkStart w:id="64" w:name="_Toc8396288"/>
            <w:bookmarkStart w:id="65" w:name="_Toc8815412"/>
            <w:bookmarkStart w:id="66" w:name="_Toc8816203"/>
            <w:r w:rsidRPr="00AC105B">
              <w:rPr>
                <w:b/>
              </w:rPr>
              <w:t>Termes médicaux</w:t>
            </w:r>
            <w:r w:rsidR="001C1DC7" w:rsidRPr="00AC105B">
              <w:t> :</w:t>
            </w:r>
            <w:r w:rsidRPr="00AC105B">
              <w:t xml:space="preserve"> </w:t>
            </w:r>
            <w:bookmarkEnd w:id="63"/>
            <w:r w:rsidRPr="00AC105B">
              <w:t>diurèse, polydipsie</w:t>
            </w:r>
            <w:r w:rsidR="004F7A54" w:rsidRPr="00AC105B">
              <w:t>.</w:t>
            </w:r>
            <w:bookmarkEnd w:id="64"/>
            <w:bookmarkEnd w:id="65"/>
            <w:bookmarkEnd w:id="66"/>
          </w:p>
        </w:tc>
      </w:tr>
    </w:tbl>
    <w:p w:rsidR="009E3CDF" w:rsidRPr="001200C9" w:rsidRDefault="009E3CDF" w:rsidP="001200C9">
      <w:pPr>
        <w:spacing w:before="0"/>
        <w:rPr>
          <w:sz w:val="6"/>
        </w:rPr>
      </w:pPr>
    </w:p>
    <w:p w:rsidR="001015AC" w:rsidRPr="007C780E" w:rsidRDefault="009E3CDF" w:rsidP="006E5724">
      <w:pPr>
        <w:pStyle w:val="Titre4"/>
        <w:spacing w:after="120"/>
        <w:rPr>
          <w:rFonts w:eastAsia="Calibri"/>
        </w:rPr>
      </w:pPr>
      <w:bookmarkStart w:id="67" w:name="_Toc8396289"/>
      <w:bookmarkStart w:id="68" w:name="_Toc8815413"/>
      <w:bookmarkStart w:id="69" w:name="_Toc8816204"/>
      <w:r w:rsidRPr="007C780E">
        <w:rPr>
          <w:rFonts w:eastAsia="Calibri"/>
        </w:rPr>
        <w:lastRenderedPageBreak/>
        <w:t>Système immunitaire et défense de l’organisme</w:t>
      </w:r>
      <w:bookmarkEnd w:id="67"/>
      <w:bookmarkEnd w:id="68"/>
      <w:bookmarkEnd w:id="69"/>
      <w:r w:rsidR="00D92666" w:rsidRPr="007C780E">
        <w:rPr>
          <w:rFonts w:eastAsia="Calibri"/>
        </w:rPr>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275"/>
        <w:gridCol w:w="5853"/>
      </w:tblGrid>
      <w:tr w:rsidR="009E3CDF" w:rsidRPr="006E5724" w:rsidTr="006E5724">
        <w:trPr>
          <w:trHeight w:val="20"/>
        </w:trPr>
        <w:tc>
          <w:tcPr>
            <w:tcW w:w="3275" w:type="dxa"/>
            <w:tcBorders>
              <w:top w:val="single" w:sz="2" w:space="0" w:color="000000"/>
              <w:left w:val="single" w:sz="2" w:space="0" w:color="000000"/>
              <w:bottom w:val="single" w:sz="2" w:space="0" w:color="000000"/>
              <w:right w:val="nil"/>
            </w:tcBorders>
            <w:shd w:val="clear" w:color="auto" w:fill="auto"/>
            <w:vAlign w:val="center"/>
            <w:hideMark/>
          </w:tcPr>
          <w:p w:rsidR="009E3CDF" w:rsidRPr="006E5724" w:rsidRDefault="009E3CDF" w:rsidP="006E5724">
            <w:pPr>
              <w:pStyle w:val="Titre5tableau"/>
            </w:pPr>
            <w:r w:rsidRPr="006E5724">
              <w:t>Notions et contenus</w:t>
            </w:r>
          </w:p>
        </w:tc>
        <w:tc>
          <w:tcPr>
            <w:tcW w:w="585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E3CDF" w:rsidRPr="006E5724" w:rsidRDefault="009E3CDF" w:rsidP="006E5724">
            <w:pPr>
              <w:pStyle w:val="Titre5tableau"/>
            </w:pPr>
            <w:r w:rsidRPr="006E5724">
              <w:t>Capacités exigibles</w:t>
            </w:r>
          </w:p>
          <w:p w:rsidR="009E3CDF" w:rsidRPr="006E5724" w:rsidRDefault="009E3CDF" w:rsidP="006E5724">
            <w:pPr>
              <w:pStyle w:val="Titre5tableau"/>
            </w:pPr>
            <w:r w:rsidRPr="006E5724">
              <w:rPr>
                <w:i/>
              </w:rPr>
              <w:t>Activités technologiques support de la formation</w:t>
            </w:r>
          </w:p>
        </w:tc>
      </w:tr>
      <w:tr w:rsidR="008B2B5E" w:rsidRPr="006E5724" w:rsidTr="00F84369">
        <w:trPr>
          <w:trHeight w:val="20"/>
        </w:trPr>
        <w:tc>
          <w:tcPr>
            <w:tcW w:w="9128" w:type="dxa"/>
            <w:gridSpan w:val="2"/>
            <w:tcBorders>
              <w:top w:val="single" w:sz="2" w:space="0" w:color="000000"/>
              <w:left w:val="single" w:sz="2" w:space="0" w:color="000000"/>
              <w:bottom w:val="single" w:sz="2" w:space="0" w:color="000000"/>
              <w:right w:val="single" w:sz="2" w:space="0" w:color="000000"/>
            </w:tcBorders>
            <w:shd w:val="clear" w:color="auto" w:fill="auto"/>
          </w:tcPr>
          <w:p w:rsidR="008B2B5E" w:rsidRPr="006E5724" w:rsidRDefault="008B2B5E" w:rsidP="006E5724">
            <w:pPr>
              <w:pStyle w:val="Titre4tableau"/>
            </w:pPr>
            <w:r w:rsidRPr="006E5724">
              <w:t>Comment le système immunitaire distingue-t-il le s</w:t>
            </w:r>
            <w:r w:rsidR="005422ED" w:rsidRPr="006E5724">
              <w:t xml:space="preserve">oi et le </w:t>
            </w:r>
            <w:proofErr w:type="spellStart"/>
            <w:r w:rsidR="005422ED" w:rsidRPr="006E5724">
              <w:t>non-</w:t>
            </w:r>
            <w:r w:rsidRPr="006E5724">
              <w:t>soi</w:t>
            </w:r>
            <w:proofErr w:type="spellEnd"/>
            <w:r w:rsidR="001C1DC7" w:rsidRPr="006E5724">
              <w:t> ?</w:t>
            </w:r>
          </w:p>
          <w:p w:rsidR="008B2B5E" w:rsidRPr="006E5724" w:rsidRDefault="008B2B5E" w:rsidP="006E5724">
            <w:pPr>
              <w:pStyle w:val="Titre4tableau"/>
            </w:pPr>
            <w:r w:rsidRPr="006E5724">
              <w:t xml:space="preserve">Comment l’organisme se défend-il contre le </w:t>
            </w:r>
            <w:proofErr w:type="spellStart"/>
            <w:r w:rsidRPr="006E5724">
              <w:t>non-soi</w:t>
            </w:r>
            <w:proofErr w:type="spellEnd"/>
            <w:r w:rsidR="001C1DC7" w:rsidRPr="006E5724">
              <w:t> ?</w:t>
            </w:r>
          </w:p>
          <w:p w:rsidR="008B2B5E" w:rsidRPr="006E5724" w:rsidRDefault="008B2B5E" w:rsidP="006E5724">
            <w:pPr>
              <w:pStyle w:val="Titre4tableau"/>
            </w:pPr>
            <w:r w:rsidRPr="006E5724">
              <w:t>Quelle prévention et quels traitements peut-on envisager contre les maladies infectieuses</w:t>
            </w:r>
            <w:r w:rsidR="001C1DC7" w:rsidRPr="006E5724">
              <w:t> ?</w:t>
            </w:r>
          </w:p>
        </w:tc>
      </w:tr>
      <w:tr w:rsidR="009E3CDF" w:rsidRPr="006E5724" w:rsidTr="00F84369">
        <w:trPr>
          <w:trHeight w:val="20"/>
        </w:trPr>
        <w:tc>
          <w:tcPr>
            <w:tcW w:w="3411" w:type="dxa"/>
            <w:tcBorders>
              <w:top w:val="single" w:sz="2" w:space="0" w:color="000000"/>
              <w:left w:val="single" w:sz="2" w:space="0" w:color="000000"/>
              <w:right w:val="nil"/>
            </w:tcBorders>
            <w:shd w:val="clear" w:color="auto" w:fill="auto"/>
            <w:hideMark/>
          </w:tcPr>
          <w:p w:rsidR="009E3CDF" w:rsidRPr="006E5724" w:rsidRDefault="009E3CDF" w:rsidP="006E5724">
            <w:pPr>
              <w:pStyle w:val="Titre5tableau"/>
            </w:pPr>
            <w:r w:rsidRPr="006E5724">
              <w:t>Maladies infectieuses</w:t>
            </w:r>
            <w:r w:rsidR="001C1DC7" w:rsidRPr="006E5724">
              <w:t> :</w:t>
            </w:r>
          </w:p>
          <w:p w:rsidR="009E3CDF" w:rsidRPr="006E5724" w:rsidRDefault="009E3CDF" w:rsidP="006E5724">
            <w:pPr>
              <w:pStyle w:val="Contenudetableau"/>
            </w:pPr>
            <w:r w:rsidRPr="006E5724">
              <w:t>A</w:t>
            </w:r>
            <w:r w:rsidR="003532E1" w:rsidRPr="006E5724">
              <w:t>gents pathogènes.</w:t>
            </w:r>
          </w:p>
          <w:p w:rsidR="009E3CDF" w:rsidRPr="006E5724" w:rsidRDefault="009E3CDF" w:rsidP="006E5724">
            <w:pPr>
              <w:pStyle w:val="Contenudetableau"/>
            </w:pPr>
            <w:r w:rsidRPr="006E5724">
              <w:t>Bactérie</w:t>
            </w:r>
            <w:r w:rsidR="003532E1" w:rsidRPr="006E5724">
              <w:t>s et multiplication bactérienne.</w:t>
            </w:r>
          </w:p>
          <w:p w:rsidR="001C1DC7" w:rsidRPr="006E5724" w:rsidRDefault="003532E1" w:rsidP="006E5724">
            <w:pPr>
              <w:pStyle w:val="Contenudetableau"/>
            </w:pPr>
            <w:r w:rsidRPr="006E5724">
              <w:t>Virus et cycle viral.</w:t>
            </w:r>
          </w:p>
          <w:p w:rsidR="009E3CDF" w:rsidRPr="006E5724" w:rsidRDefault="009E3CDF" w:rsidP="006E5724">
            <w:pPr>
              <w:pStyle w:val="Titre5tableau"/>
            </w:pPr>
            <w:r w:rsidRPr="006E5724">
              <w:t xml:space="preserve">Antibiothérapie </w:t>
            </w:r>
            <w:r w:rsidR="003532E1" w:rsidRPr="006E5724">
              <w:t>et résistance aux antibiotiques.</w:t>
            </w:r>
          </w:p>
        </w:tc>
        <w:tc>
          <w:tcPr>
            <w:tcW w:w="6098" w:type="dxa"/>
            <w:tcBorders>
              <w:top w:val="single" w:sz="2" w:space="0" w:color="000000"/>
              <w:left w:val="single" w:sz="2" w:space="0" w:color="000000"/>
              <w:right w:val="single" w:sz="2" w:space="0" w:color="000000"/>
            </w:tcBorders>
            <w:shd w:val="clear" w:color="auto" w:fill="auto"/>
            <w:hideMark/>
          </w:tcPr>
          <w:p w:rsidR="009E3CDF" w:rsidRPr="006E5724" w:rsidRDefault="009E3CDF" w:rsidP="006E5724">
            <w:pPr>
              <w:pStyle w:val="Contenudetableau"/>
              <w:spacing w:before="360"/>
            </w:pPr>
            <w:r w:rsidRPr="006E5724">
              <w:t>Identifier les différentes catégories d’agents pathogènes.</w:t>
            </w:r>
          </w:p>
          <w:p w:rsidR="009E3CDF" w:rsidRPr="006E5724" w:rsidRDefault="009E3CDF" w:rsidP="006E5724">
            <w:pPr>
              <w:pStyle w:val="Contenudetableau"/>
            </w:pPr>
            <w:r w:rsidRPr="006E5724">
              <w:t>Comparer la structure des bactéries et</w:t>
            </w:r>
            <w:r w:rsidR="00EF7BDB" w:rsidRPr="006E5724">
              <w:t xml:space="preserve"> des virus et caractériser leur</w:t>
            </w:r>
            <w:r w:rsidRPr="006E5724">
              <w:t xml:space="preserve"> mode de reproduction respectif.</w:t>
            </w:r>
          </w:p>
          <w:p w:rsidR="001C1DC7" w:rsidRPr="006E5724" w:rsidRDefault="009E3CDF" w:rsidP="006E5724">
            <w:pPr>
              <w:pStyle w:val="Contenudetableau"/>
            </w:pPr>
            <w:r w:rsidRPr="006E5724">
              <w:t>Repérer les étapes d’un cycle viral.</w:t>
            </w:r>
          </w:p>
          <w:p w:rsidR="009E3CDF" w:rsidRPr="006E5724" w:rsidRDefault="009E3CDF" w:rsidP="006E5724">
            <w:pPr>
              <w:pStyle w:val="Contenudetableau"/>
            </w:pPr>
            <w:r w:rsidRPr="006E5724">
              <w:t>Lire et interpréter un antibiogramme.</w:t>
            </w:r>
          </w:p>
          <w:p w:rsidR="009E3CDF" w:rsidRPr="006E5724" w:rsidRDefault="009E3CDF" w:rsidP="006E5724">
            <w:pPr>
              <w:pStyle w:val="Contenudetableau"/>
            </w:pPr>
            <w:r w:rsidRPr="006E5724">
              <w:t>Repérer les principales cibles cellulaires des antibiotiques.</w:t>
            </w:r>
          </w:p>
          <w:p w:rsidR="009E3CDF" w:rsidRPr="006E5724" w:rsidRDefault="009E3CDF" w:rsidP="006E5724">
            <w:pPr>
              <w:pStyle w:val="Contenudetableau"/>
            </w:pPr>
            <w:r w:rsidRPr="006E5724">
              <w:t>Distinguer résistance naturelle et résistance acquise par mutation ou transfert de gènes.</w:t>
            </w:r>
          </w:p>
          <w:p w:rsidR="001C1DC7" w:rsidRPr="006E5724" w:rsidRDefault="009E3CDF" w:rsidP="006E5724">
            <w:pPr>
              <w:pStyle w:val="Contenudetableau"/>
            </w:pPr>
            <w:r w:rsidRPr="006E5724">
              <w:t>Faire le lien entre l’utilisation des antibiotiques et la sélection de souches résistantes.</w:t>
            </w:r>
          </w:p>
          <w:p w:rsidR="001C1DC7" w:rsidRPr="006E5724" w:rsidRDefault="009E3CDF" w:rsidP="006E5724">
            <w:pPr>
              <w:pStyle w:val="Contenudetableau"/>
            </w:pPr>
            <w:r w:rsidRPr="006E5724">
              <w:t>En déduire l’intérêt des campagnes de prévention.</w:t>
            </w:r>
          </w:p>
          <w:p w:rsidR="009E3CDF" w:rsidRPr="006E5724" w:rsidRDefault="009E3CDF" w:rsidP="006E5724">
            <w:pPr>
              <w:pStyle w:val="Contenudetableau"/>
              <w:rPr>
                <w:i/>
              </w:rPr>
            </w:pPr>
            <w:r w:rsidRPr="006E5724">
              <w:rPr>
                <w:i/>
              </w:rPr>
              <w:t>Observation de microorganismes.</w:t>
            </w:r>
          </w:p>
          <w:p w:rsidR="009E3CDF" w:rsidRPr="006E5724" w:rsidRDefault="009E3CDF" w:rsidP="006E5724">
            <w:pPr>
              <w:pStyle w:val="Contenudetableau"/>
              <w:rPr>
                <w:i/>
              </w:rPr>
            </w:pPr>
            <w:r w:rsidRPr="006E5724">
              <w:rPr>
                <w:i/>
              </w:rPr>
              <w:t>Réalisation d’un antibiogramme</w:t>
            </w:r>
            <w:r w:rsidR="00E26230" w:rsidRPr="006E5724">
              <w:rPr>
                <w:i/>
              </w:rPr>
              <w:t>.</w:t>
            </w:r>
          </w:p>
        </w:tc>
      </w:tr>
      <w:tr w:rsidR="006E5724" w:rsidRPr="006E5724" w:rsidTr="00F84369">
        <w:trPr>
          <w:trHeight w:val="2449"/>
        </w:trPr>
        <w:tc>
          <w:tcPr>
            <w:tcW w:w="3411" w:type="dxa"/>
            <w:tcBorders>
              <w:left w:val="single" w:sz="2" w:space="0" w:color="000000"/>
              <w:right w:val="nil"/>
            </w:tcBorders>
            <w:shd w:val="clear" w:color="auto" w:fill="auto"/>
          </w:tcPr>
          <w:p w:rsidR="006E5724" w:rsidRPr="006E5724" w:rsidRDefault="006E5724" w:rsidP="006E5724">
            <w:pPr>
              <w:pStyle w:val="Titre5tableau"/>
            </w:pPr>
            <w:r w:rsidRPr="006E5724">
              <w:t xml:space="preserve">Soi et </w:t>
            </w:r>
            <w:proofErr w:type="spellStart"/>
            <w:r w:rsidRPr="006E5724">
              <w:t>non-soi</w:t>
            </w:r>
            <w:proofErr w:type="spellEnd"/>
            <w:r w:rsidRPr="006E5724">
              <w:t>.</w:t>
            </w:r>
          </w:p>
          <w:p w:rsidR="006E5724" w:rsidRPr="006E5724" w:rsidRDefault="006E5724" w:rsidP="006E5724">
            <w:pPr>
              <w:pStyle w:val="Titre5tableau"/>
            </w:pPr>
            <w:r w:rsidRPr="006E5724">
              <w:t>Organes et cellules de l’immunité.</w:t>
            </w:r>
          </w:p>
        </w:tc>
        <w:tc>
          <w:tcPr>
            <w:tcW w:w="6098" w:type="dxa"/>
            <w:tcBorders>
              <w:left w:val="single" w:sz="2" w:space="0" w:color="000000"/>
              <w:right w:val="single" w:sz="2" w:space="0" w:color="000000"/>
            </w:tcBorders>
            <w:shd w:val="clear" w:color="auto" w:fill="auto"/>
          </w:tcPr>
          <w:p w:rsidR="006E5724" w:rsidRPr="006E5724" w:rsidRDefault="006E5724" w:rsidP="006E5724">
            <w:pPr>
              <w:pStyle w:val="Contenudetableau"/>
            </w:pPr>
            <w:r w:rsidRPr="006E5724">
              <w:t>Distinguer la notion de soi et de non soi à partir de résultats expérimentaux.</w:t>
            </w:r>
          </w:p>
          <w:p w:rsidR="006E5724" w:rsidRPr="006E5724" w:rsidRDefault="006E5724" w:rsidP="006E5724">
            <w:pPr>
              <w:pStyle w:val="Contenudetableau"/>
            </w:pPr>
            <w:r w:rsidRPr="006E5724">
              <w:t>Identifier et localiser les principaux marqueurs du soi.</w:t>
            </w:r>
          </w:p>
          <w:p w:rsidR="006E5724" w:rsidRPr="006E5724" w:rsidRDefault="006E5724" w:rsidP="006E5724">
            <w:pPr>
              <w:pStyle w:val="Contenudetableau"/>
            </w:pPr>
            <w:r w:rsidRPr="006E5724">
              <w:t>Définir les notions d’antigène et d’épitope.</w:t>
            </w:r>
          </w:p>
          <w:p w:rsidR="006E5724" w:rsidRPr="006E5724" w:rsidRDefault="006E5724" w:rsidP="006E5724">
            <w:pPr>
              <w:pStyle w:val="Contenudetableau"/>
            </w:pPr>
            <w:r w:rsidRPr="006E5724">
              <w:t>Localiser les organes lymphoïdes primaires et secondaires et donner leurs rôles.</w:t>
            </w:r>
          </w:p>
          <w:p w:rsidR="006E5724" w:rsidRPr="006E5724" w:rsidRDefault="006E5724" w:rsidP="006E5724">
            <w:pPr>
              <w:pStyle w:val="Contenudetableau"/>
            </w:pPr>
            <w:r w:rsidRPr="006E5724">
              <w:t>Identifier les éléments figurés du sang.</w:t>
            </w:r>
          </w:p>
          <w:p w:rsidR="006E5724" w:rsidRPr="006E5724" w:rsidRDefault="006E5724" w:rsidP="006E5724">
            <w:pPr>
              <w:pStyle w:val="Contenudetableau"/>
              <w:rPr>
                <w:i/>
              </w:rPr>
            </w:pPr>
            <w:r w:rsidRPr="006E5724">
              <w:rPr>
                <w:i/>
              </w:rPr>
              <w:t>Observation de frottis sanguins.</w:t>
            </w:r>
          </w:p>
        </w:tc>
      </w:tr>
      <w:tr w:rsidR="00F84369" w:rsidRPr="006E5724" w:rsidTr="00F84369">
        <w:trPr>
          <w:trHeight w:val="20"/>
        </w:trPr>
        <w:tc>
          <w:tcPr>
            <w:tcW w:w="3275" w:type="dxa"/>
            <w:tcBorders>
              <w:left w:val="single" w:sz="2" w:space="0" w:color="000000"/>
              <w:bottom w:val="single" w:sz="2" w:space="0" w:color="000000"/>
              <w:right w:val="nil"/>
            </w:tcBorders>
            <w:shd w:val="clear" w:color="auto" w:fill="auto"/>
          </w:tcPr>
          <w:p w:rsidR="00F84369" w:rsidRPr="006E5724" w:rsidRDefault="00F84369" w:rsidP="006E5724">
            <w:pPr>
              <w:pStyle w:val="Titre5tableau"/>
            </w:pPr>
            <w:r w:rsidRPr="006E5724">
              <w:t>Un exemple de mise en jeu des défenses immunitaires : la grippe.</w:t>
            </w:r>
          </w:p>
          <w:p w:rsidR="00F84369" w:rsidRPr="006E5724" w:rsidRDefault="00F84369" w:rsidP="006E5724">
            <w:pPr>
              <w:pStyle w:val="Contenudetableau"/>
            </w:pPr>
            <w:r w:rsidRPr="006E5724">
              <w:t>Voie de contamination.</w:t>
            </w:r>
          </w:p>
          <w:p w:rsidR="00F84369" w:rsidRPr="006E5724" w:rsidRDefault="00F84369" w:rsidP="006E5724">
            <w:pPr>
              <w:pStyle w:val="Contenudetableau"/>
            </w:pPr>
            <w:r w:rsidRPr="006E5724">
              <w:t xml:space="preserve">Notion de barrière </w:t>
            </w:r>
            <w:proofErr w:type="spellStart"/>
            <w:r w:rsidRPr="006E5724">
              <w:t>cutanéo-muqueuse</w:t>
            </w:r>
            <w:proofErr w:type="spellEnd"/>
            <w:r w:rsidRPr="006E5724">
              <w:t>.</w:t>
            </w:r>
          </w:p>
          <w:p w:rsidR="00F84369" w:rsidRPr="006E5724" w:rsidRDefault="00F84369" w:rsidP="006E5724">
            <w:pPr>
              <w:pStyle w:val="Contenudetableau"/>
            </w:pPr>
            <w:r w:rsidRPr="006E5724">
              <w:t>Immunité innée : réaction inflammatoire.</w:t>
            </w:r>
          </w:p>
          <w:p w:rsidR="00F84369" w:rsidRDefault="00F84369" w:rsidP="006E5724">
            <w:pPr>
              <w:pStyle w:val="Titre5tableau"/>
              <w:spacing w:before="180"/>
            </w:pPr>
            <w:r w:rsidRPr="006E5724">
              <w:t>Réponse acquise à médiation humorale : rôle des anticorps.</w:t>
            </w:r>
          </w:p>
          <w:p w:rsidR="00F84369" w:rsidRDefault="00F84369" w:rsidP="006E5724">
            <w:pPr>
              <w:pStyle w:val="Titre5tableau"/>
              <w:spacing w:before="180"/>
            </w:pPr>
          </w:p>
          <w:p w:rsidR="00F84369" w:rsidRDefault="00F84369" w:rsidP="006E5724">
            <w:pPr>
              <w:pStyle w:val="Titre5tableau"/>
              <w:spacing w:before="180"/>
            </w:pPr>
          </w:p>
          <w:p w:rsidR="00F84369" w:rsidRPr="006E5724" w:rsidRDefault="00F84369" w:rsidP="006E5724">
            <w:pPr>
              <w:pStyle w:val="Titre5tableau"/>
            </w:pPr>
          </w:p>
        </w:tc>
        <w:tc>
          <w:tcPr>
            <w:tcW w:w="5853" w:type="dxa"/>
            <w:tcBorders>
              <w:left w:val="single" w:sz="2" w:space="0" w:color="000000"/>
              <w:bottom w:val="single" w:sz="2" w:space="0" w:color="000000"/>
              <w:right w:val="single" w:sz="2" w:space="0" w:color="000000"/>
            </w:tcBorders>
            <w:shd w:val="clear" w:color="auto" w:fill="auto"/>
          </w:tcPr>
          <w:p w:rsidR="00F84369" w:rsidRDefault="00F84369" w:rsidP="006E5724">
            <w:pPr>
              <w:pStyle w:val="Contenudetableau"/>
              <w:rPr>
                <w:strike/>
              </w:rPr>
            </w:pPr>
          </w:p>
          <w:p w:rsidR="00F84369" w:rsidRPr="006E5724" w:rsidRDefault="00F84369" w:rsidP="006E5724">
            <w:pPr>
              <w:pStyle w:val="Contenudetableau"/>
              <w:rPr>
                <w:strike/>
              </w:rPr>
            </w:pPr>
          </w:p>
          <w:p w:rsidR="00F84369" w:rsidRPr="006E5724" w:rsidRDefault="00F84369" w:rsidP="006E5724">
            <w:pPr>
              <w:pStyle w:val="Contenudetableau"/>
            </w:pPr>
            <w:r w:rsidRPr="006E5724">
              <w:t>Citer les principaux symptômes de la grippe en lien avec la voie de contamination du virus et les cellules cibles.</w:t>
            </w:r>
          </w:p>
          <w:p w:rsidR="00F84369" w:rsidRPr="006E5724" w:rsidRDefault="00F84369" w:rsidP="006E5724">
            <w:pPr>
              <w:pStyle w:val="Contenudetableau"/>
            </w:pPr>
            <w:r w:rsidRPr="006E5724">
              <w:t xml:space="preserve">Présenter les différentes défenses </w:t>
            </w:r>
            <w:proofErr w:type="spellStart"/>
            <w:r w:rsidRPr="006E5724">
              <w:t>cutanéo-muqueuses</w:t>
            </w:r>
            <w:proofErr w:type="spellEnd"/>
            <w:r w:rsidRPr="006E5724">
              <w:t>.</w:t>
            </w:r>
          </w:p>
          <w:p w:rsidR="00F84369" w:rsidRPr="006E5724" w:rsidRDefault="00F84369" w:rsidP="006E5724">
            <w:pPr>
              <w:pStyle w:val="Contenudetableau"/>
            </w:pPr>
            <w:r w:rsidRPr="006E5724">
              <w:t>Relier les phénomènes vasculaires et cellulaires aux quatre symptômes de la réaction inflammatoire.</w:t>
            </w:r>
          </w:p>
          <w:p w:rsidR="00F84369" w:rsidRPr="006E5724" w:rsidRDefault="00F84369" w:rsidP="006E5724">
            <w:pPr>
              <w:pStyle w:val="Contenudetableau"/>
            </w:pPr>
            <w:r w:rsidRPr="006E5724">
              <w:t>Présenter le rôle et le mécanisme de la phagocytose.</w:t>
            </w:r>
          </w:p>
          <w:p w:rsidR="00F84369" w:rsidRPr="006E5724" w:rsidRDefault="00F84369" w:rsidP="006E5724">
            <w:pPr>
              <w:pStyle w:val="Contenudetableau"/>
              <w:spacing w:before="120"/>
            </w:pPr>
            <w:r w:rsidRPr="006E5724">
              <w:t>Présenter l’activation spécifique des lymphocytes B, leur multiplication et leur différenciation en plasmocytes.</w:t>
            </w:r>
          </w:p>
          <w:p w:rsidR="00F84369" w:rsidRPr="006E5724" w:rsidRDefault="00F84369" w:rsidP="006E5724">
            <w:pPr>
              <w:pStyle w:val="Contenudetableau"/>
            </w:pPr>
            <w:r w:rsidRPr="006E5724">
              <w:t>Comparer l’ultrastructure des lymphocytes B et des plasmocytes.</w:t>
            </w:r>
          </w:p>
          <w:p w:rsidR="00F84369" w:rsidRPr="006E5724" w:rsidRDefault="00F84369" w:rsidP="006E5724">
            <w:pPr>
              <w:pStyle w:val="Contenudetableau"/>
            </w:pPr>
            <w:r w:rsidRPr="006E5724">
              <w:t>Relier l’ultrastructure des plasmocytes à leur fonction.</w:t>
            </w:r>
          </w:p>
          <w:p w:rsidR="00F84369" w:rsidRPr="006E5724" w:rsidRDefault="00F84369" w:rsidP="00F84369">
            <w:pPr>
              <w:pStyle w:val="Contenudetableau"/>
            </w:pPr>
            <w:r w:rsidRPr="006E5724">
              <w:t xml:space="preserve">Localiser </w:t>
            </w:r>
            <w:proofErr w:type="spellStart"/>
            <w:r w:rsidRPr="006E5724">
              <w:t>paratope</w:t>
            </w:r>
            <w:proofErr w:type="spellEnd"/>
            <w:r w:rsidRPr="006E5724">
              <w:t xml:space="preserve">, site de fixation du complément et site </w:t>
            </w:r>
          </w:p>
        </w:tc>
      </w:tr>
      <w:tr w:rsidR="00F84369" w:rsidRPr="006E5724" w:rsidTr="00F84369">
        <w:trPr>
          <w:trHeight w:val="20"/>
        </w:trPr>
        <w:tc>
          <w:tcPr>
            <w:tcW w:w="3275" w:type="dxa"/>
            <w:tcBorders>
              <w:top w:val="single" w:sz="2" w:space="0" w:color="000000"/>
              <w:left w:val="single" w:sz="2" w:space="0" w:color="000000"/>
              <w:right w:val="nil"/>
            </w:tcBorders>
            <w:shd w:val="clear" w:color="auto" w:fill="auto"/>
          </w:tcPr>
          <w:p w:rsidR="00F84369" w:rsidRDefault="00F84369" w:rsidP="00F84369">
            <w:pPr>
              <w:pStyle w:val="Titre5tableau"/>
              <w:spacing w:before="180"/>
            </w:pPr>
          </w:p>
          <w:p w:rsidR="00F84369" w:rsidRDefault="00F84369" w:rsidP="00F84369">
            <w:pPr>
              <w:pStyle w:val="Titre5tableau"/>
              <w:spacing w:before="180"/>
            </w:pPr>
          </w:p>
          <w:p w:rsidR="00F84369" w:rsidRPr="006E5724" w:rsidRDefault="00F84369" w:rsidP="00F84369">
            <w:pPr>
              <w:pStyle w:val="Titre5tableau"/>
              <w:spacing w:before="180"/>
            </w:pPr>
          </w:p>
          <w:p w:rsidR="00F84369" w:rsidRPr="006E5724" w:rsidRDefault="00F84369" w:rsidP="00F84369">
            <w:pPr>
              <w:pStyle w:val="Titre5tableau"/>
              <w:spacing w:before="120"/>
            </w:pPr>
            <w:r w:rsidRPr="006E5724">
              <w:t>Réponse acquise à médiation cellulaire : rôle des lymphocytes T cytotoxiques.</w:t>
            </w:r>
            <w:r>
              <w:br/>
            </w:r>
            <w:r>
              <w:br/>
            </w:r>
          </w:p>
          <w:p w:rsidR="00F84369" w:rsidRDefault="00F84369" w:rsidP="00F84369">
            <w:pPr>
              <w:pStyle w:val="Titre5tableau"/>
              <w:spacing w:before="120"/>
            </w:pPr>
            <w:r w:rsidRPr="006E5724">
              <w:t>Coopération cellulaire.</w:t>
            </w:r>
            <w:r>
              <w:br/>
            </w:r>
          </w:p>
          <w:p w:rsidR="00F84369" w:rsidRPr="006E5724" w:rsidRDefault="00F84369" w:rsidP="00F84369">
            <w:pPr>
              <w:pStyle w:val="Titre5tableau"/>
              <w:spacing w:before="120"/>
            </w:pPr>
            <w:r>
              <w:br/>
            </w:r>
          </w:p>
          <w:p w:rsidR="00F84369" w:rsidRPr="006E5724" w:rsidRDefault="00F84369" w:rsidP="00F84369">
            <w:pPr>
              <w:pStyle w:val="Titre5tableau"/>
            </w:pPr>
            <w:r w:rsidRPr="006E5724">
              <w:t>Prévention de la grippe : vaccination.</w:t>
            </w:r>
          </w:p>
        </w:tc>
        <w:tc>
          <w:tcPr>
            <w:tcW w:w="5853" w:type="dxa"/>
            <w:tcBorders>
              <w:top w:val="single" w:sz="2" w:space="0" w:color="000000"/>
              <w:left w:val="single" w:sz="2" w:space="0" w:color="000000"/>
              <w:right w:val="single" w:sz="2" w:space="0" w:color="000000"/>
            </w:tcBorders>
            <w:shd w:val="clear" w:color="auto" w:fill="auto"/>
          </w:tcPr>
          <w:p w:rsidR="00F84369" w:rsidRPr="006E5724" w:rsidRDefault="00F84369" w:rsidP="00F84369">
            <w:pPr>
              <w:pStyle w:val="Contenudetableau"/>
            </w:pPr>
            <w:r w:rsidRPr="006E5724">
              <w:t>de fixation du phagocyte au niveau d’une immunoglobuline</w:t>
            </w:r>
            <w:r w:rsidR="00D91FCE">
              <w:t> </w:t>
            </w:r>
            <w:r w:rsidRPr="006E5724">
              <w:t xml:space="preserve"> G.</w:t>
            </w:r>
          </w:p>
          <w:p w:rsidR="00F84369" w:rsidRPr="006E5724" w:rsidRDefault="00F84369" w:rsidP="00F84369">
            <w:pPr>
              <w:pStyle w:val="Contenudetableau"/>
            </w:pPr>
            <w:r w:rsidRPr="006E5724">
              <w:t xml:space="preserve">Établir le lien structure-fonction : neutralisation de l’antigène par formation d’un complexe immun, </w:t>
            </w:r>
            <w:proofErr w:type="spellStart"/>
            <w:r w:rsidRPr="006E5724">
              <w:t>opsonisation</w:t>
            </w:r>
            <w:proofErr w:type="spellEnd"/>
            <w:r w:rsidRPr="006E5724">
              <w:t xml:space="preserve"> et activation du complément.</w:t>
            </w:r>
          </w:p>
          <w:p w:rsidR="00F84369" w:rsidRPr="006E5724" w:rsidRDefault="00F84369" w:rsidP="00F84369">
            <w:pPr>
              <w:pStyle w:val="Contenudetableau"/>
            </w:pPr>
            <w:r w:rsidRPr="006E5724">
              <w:t>Présenter l’activation spécifique des lymphocytes T8, leur multiplication, leur différenciation en lymphocytes T cytotoxiques.</w:t>
            </w:r>
          </w:p>
          <w:p w:rsidR="00F84369" w:rsidRPr="006E5724" w:rsidRDefault="00F84369" w:rsidP="00F84369">
            <w:pPr>
              <w:pStyle w:val="Contenudetableau"/>
            </w:pPr>
            <w:r w:rsidRPr="006E5724">
              <w:t>Montrer le rôle des lymphocytes T cytotoxiques dans la cytolyse.</w:t>
            </w:r>
          </w:p>
          <w:p w:rsidR="00F84369" w:rsidRPr="006E5724" w:rsidRDefault="00F84369" w:rsidP="00F84369">
            <w:pPr>
              <w:pStyle w:val="Contenudetableau"/>
            </w:pPr>
            <w:r w:rsidRPr="006E5724">
              <w:t>Présenter l’activation spécifique des lymphocytes T4, leur multiplication, leur différenciation.</w:t>
            </w:r>
          </w:p>
          <w:p w:rsidR="00F84369" w:rsidRPr="006E5724" w:rsidRDefault="00F84369" w:rsidP="00F84369">
            <w:pPr>
              <w:pStyle w:val="Contenudetableau"/>
            </w:pPr>
            <w:r w:rsidRPr="006E5724">
              <w:t>Montrer le rôle central des lymphocytes T auxiliaires dans l’activation des réponses humorale et cellulaire.</w:t>
            </w:r>
          </w:p>
          <w:p w:rsidR="00F84369" w:rsidRPr="006E5724" w:rsidRDefault="00F84369" w:rsidP="00F84369">
            <w:pPr>
              <w:pStyle w:val="Contenudetableau"/>
            </w:pPr>
            <w:r w:rsidRPr="006E5724">
              <w:t>Caractériser les réponses primaire et secondaire. Les relier au principe de la vaccination.</w:t>
            </w:r>
          </w:p>
          <w:p w:rsidR="00F84369" w:rsidRDefault="00F84369" w:rsidP="00F84369">
            <w:pPr>
              <w:pStyle w:val="Contenudetableau"/>
              <w:rPr>
                <w:strike/>
              </w:rPr>
            </w:pPr>
            <w:r w:rsidRPr="006E5724">
              <w:t>Mettre en relation variabilité du virus de la grippe et vaccination annuelle.</w:t>
            </w:r>
          </w:p>
        </w:tc>
      </w:tr>
      <w:tr w:rsidR="009E3CDF" w:rsidRPr="006E5724" w:rsidTr="006E5724">
        <w:trPr>
          <w:trHeight w:val="20"/>
        </w:trPr>
        <w:tc>
          <w:tcPr>
            <w:tcW w:w="3275" w:type="dxa"/>
            <w:tcBorders>
              <w:left w:val="single" w:sz="2" w:space="0" w:color="000000"/>
              <w:bottom w:val="single" w:sz="2" w:space="0" w:color="000000"/>
              <w:right w:val="nil"/>
            </w:tcBorders>
            <w:shd w:val="clear" w:color="auto" w:fill="auto"/>
          </w:tcPr>
          <w:p w:rsidR="009E3CDF" w:rsidRPr="006E5724" w:rsidRDefault="009E3CDF" w:rsidP="00F84369">
            <w:pPr>
              <w:pStyle w:val="Titre5tableau"/>
              <w:spacing w:before="0"/>
            </w:pPr>
            <w:r w:rsidRPr="006E5724">
              <w:t>Technique d’exploration</w:t>
            </w:r>
            <w:r w:rsidR="001C1DC7" w:rsidRPr="006E5724">
              <w:t> :</w:t>
            </w:r>
          </w:p>
          <w:p w:rsidR="009E3CDF" w:rsidRPr="006E5724" w:rsidRDefault="009E3CDF" w:rsidP="006E5724">
            <w:pPr>
              <w:pStyle w:val="Contenudetableau"/>
            </w:pPr>
            <w:r w:rsidRPr="006E5724">
              <w:t>analyses sanguines</w:t>
            </w:r>
            <w:r w:rsidR="00C91300" w:rsidRPr="006E5724">
              <w:t>.</w:t>
            </w:r>
          </w:p>
        </w:tc>
        <w:tc>
          <w:tcPr>
            <w:tcW w:w="5853" w:type="dxa"/>
            <w:tcBorders>
              <w:left w:val="single" w:sz="2" w:space="0" w:color="000000"/>
              <w:bottom w:val="single" w:sz="2" w:space="0" w:color="000000"/>
              <w:right w:val="single" w:sz="2" w:space="0" w:color="000000"/>
            </w:tcBorders>
            <w:shd w:val="clear" w:color="auto" w:fill="auto"/>
          </w:tcPr>
          <w:p w:rsidR="009E3CDF" w:rsidRPr="006E5724" w:rsidRDefault="009E3CDF" w:rsidP="00D91FCE">
            <w:pPr>
              <w:pStyle w:val="Contenudetableau"/>
              <w:spacing w:before="0"/>
              <w:rPr>
                <w:color w:val="00B0F0"/>
              </w:rPr>
            </w:pPr>
            <w:r w:rsidRPr="006E5724">
              <w:t xml:space="preserve">Analyser des résultats de </w:t>
            </w:r>
            <w:r w:rsidR="00D91FCE" w:rsidRPr="006E5724">
              <w:t>numération formule sanguine</w:t>
            </w:r>
            <w:r w:rsidRPr="006E5724">
              <w:t xml:space="preserve"> (</w:t>
            </w:r>
            <w:r w:rsidR="00D91FCE" w:rsidRPr="006E5724">
              <w:t>NFS</w:t>
            </w:r>
            <w:r w:rsidRPr="006E5724">
              <w:t xml:space="preserve">), de recherche de marqueurs de l’inflammation, de </w:t>
            </w:r>
            <w:r w:rsidR="00C91300" w:rsidRPr="006E5724">
              <w:t>sérodiagnostic.</w:t>
            </w:r>
          </w:p>
        </w:tc>
      </w:tr>
      <w:tr w:rsidR="009E3CDF" w:rsidRPr="006E5724" w:rsidTr="006E5724">
        <w:trPr>
          <w:trHeight w:val="20"/>
        </w:trPr>
        <w:tc>
          <w:tcPr>
            <w:tcW w:w="912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hideMark/>
          </w:tcPr>
          <w:p w:rsidR="009E3CDF" w:rsidRPr="006E5724" w:rsidRDefault="009E3CDF" w:rsidP="006E5724">
            <w:pPr>
              <w:pStyle w:val="Contenudetableau"/>
            </w:pPr>
            <w:r w:rsidRPr="00F84369">
              <w:rPr>
                <w:b/>
              </w:rPr>
              <w:t>Racines</w:t>
            </w:r>
            <w:r w:rsidR="001C1DC7" w:rsidRPr="00F84369">
              <w:rPr>
                <w:b/>
              </w:rPr>
              <w:t> </w:t>
            </w:r>
            <w:r w:rsidR="001C1DC7" w:rsidRPr="006E5724">
              <w:t>:</w:t>
            </w:r>
            <w:r w:rsidRPr="006E5724">
              <w:t xml:space="preserve"> leuco, </w:t>
            </w:r>
            <w:proofErr w:type="spellStart"/>
            <w:r w:rsidRPr="006E5724">
              <w:t>lympho</w:t>
            </w:r>
            <w:proofErr w:type="spellEnd"/>
            <w:r w:rsidRPr="006E5724">
              <w:t xml:space="preserve">, </w:t>
            </w:r>
            <w:proofErr w:type="spellStart"/>
            <w:r w:rsidRPr="006E5724">
              <w:t>phago</w:t>
            </w:r>
            <w:proofErr w:type="spellEnd"/>
            <w:r w:rsidRPr="006E5724">
              <w:t xml:space="preserve">, </w:t>
            </w:r>
            <w:proofErr w:type="spellStart"/>
            <w:r w:rsidRPr="006E5724">
              <w:t>pyro</w:t>
            </w:r>
            <w:proofErr w:type="spellEnd"/>
            <w:r w:rsidRPr="006E5724">
              <w:t xml:space="preserve">, </w:t>
            </w:r>
            <w:proofErr w:type="spellStart"/>
            <w:r w:rsidRPr="006E5724">
              <w:t>séro</w:t>
            </w:r>
            <w:proofErr w:type="spellEnd"/>
            <w:r w:rsidRPr="006E5724">
              <w:t xml:space="preserve">, </w:t>
            </w:r>
            <w:proofErr w:type="spellStart"/>
            <w:r w:rsidRPr="006E5724">
              <w:t>spléno</w:t>
            </w:r>
            <w:proofErr w:type="spellEnd"/>
            <w:r w:rsidRPr="006E5724">
              <w:t xml:space="preserve">, </w:t>
            </w:r>
            <w:proofErr w:type="spellStart"/>
            <w:r w:rsidR="004F7A54" w:rsidRPr="006E5724">
              <w:t>thymo</w:t>
            </w:r>
            <w:proofErr w:type="spellEnd"/>
            <w:r w:rsidR="004F7A54" w:rsidRPr="006E5724">
              <w:t>.</w:t>
            </w:r>
          </w:p>
        </w:tc>
      </w:tr>
      <w:tr w:rsidR="009E3CDF" w:rsidRPr="006E5724" w:rsidTr="006E5724">
        <w:trPr>
          <w:trHeight w:val="20"/>
        </w:trPr>
        <w:tc>
          <w:tcPr>
            <w:tcW w:w="912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hideMark/>
          </w:tcPr>
          <w:p w:rsidR="009E3CDF" w:rsidRPr="006E5724" w:rsidRDefault="009E3CDF" w:rsidP="006E5724">
            <w:pPr>
              <w:pStyle w:val="Contenudetableau"/>
            </w:pPr>
            <w:bookmarkStart w:id="70" w:name="_Toc8396290"/>
            <w:bookmarkStart w:id="71" w:name="_Toc8815414"/>
            <w:bookmarkStart w:id="72" w:name="_Toc8816205"/>
            <w:r w:rsidRPr="00F84369">
              <w:rPr>
                <w:rFonts w:eastAsia="SimSun"/>
                <w:b/>
                <w:bCs/>
              </w:rPr>
              <w:t>Termes médicaux</w:t>
            </w:r>
            <w:r w:rsidR="001C1DC7" w:rsidRPr="006E5724">
              <w:rPr>
                <w:rFonts w:eastAsia="SimSun"/>
                <w:bCs/>
              </w:rPr>
              <w:t> :</w:t>
            </w:r>
            <w:r w:rsidRPr="006E5724">
              <w:rPr>
                <w:rFonts w:eastAsia="SimSun"/>
                <w:bCs/>
              </w:rPr>
              <w:t xml:space="preserve"> asthénie, épidémie, mycose, nosocomiale</w:t>
            </w:r>
            <w:r w:rsidR="004F7A54" w:rsidRPr="006E5724">
              <w:rPr>
                <w:rFonts w:eastAsia="SimSun"/>
                <w:bCs/>
              </w:rPr>
              <w:t>.</w:t>
            </w:r>
            <w:bookmarkEnd w:id="70"/>
            <w:bookmarkEnd w:id="71"/>
            <w:bookmarkEnd w:id="72"/>
          </w:p>
        </w:tc>
      </w:tr>
    </w:tbl>
    <w:p w:rsidR="001C1DC7" w:rsidRPr="007C780E" w:rsidRDefault="001C1DC7" w:rsidP="00F84369">
      <w:pPr>
        <w:spacing w:before="0"/>
      </w:pPr>
      <w:bookmarkStart w:id="73" w:name="_Toc8396291"/>
      <w:bookmarkStart w:id="74" w:name="_Toc8815415"/>
      <w:bookmarkStart w:id="75" w:name="_Toc8816206"/>
    </w:p>
    <w:p w:rsidR="009E3CDF" w:rsidRPr="007C780E" w:rsidRDefault="009E3CDF" w:rsidP="00F84369">
      <w:pPr>
        <w:pStyle w:val="Titre4"/>
        <w:rPr>
          <w:rFonts w:eastAsia="Calibri"/>
        </w:rPr>
      </w:pPr>
      <w:r w:rsidRPr="007C780E">
        <w:rPr>
          <w:rFonts w:eastAsia="Calibri"/>
        </w:rPr>
        <w:t>Appareil reproducteur et transmission de la vie</w:t>
      </w:r>
      <w:bookmarkEnd w:id="73"/>
      <w:bookmarkEnd w:id="74"/>
      <w:bookmarkEnd w:id="75"/>
    </w:p>
    <w:tbl>
      <w:tblPr>
        <w:tblW w:w="5000" w:type="pct"/>
        <w:tblLayout w:type="fixed"/>
        <w:tblCellMar>
          <w:top w:w="28" w:type="dxa"/>
          <w:left w:w="28" w:type="dxa"/>
          <w:bottom w:w="28" w:type="dxa"/>
          <w:right w:w="28" w:type="dxa"/>
        </w:tblCellMar>
        <w:tblLook w:val="00A0" w:firstRow="1" w:lastRow="0" w:firstColumn="1" w:lastColumn="0" w:noHBand="0" w:noVBand="0"/>
      </w:tblPr>
      <w:tblGrid>
        <w:gridCol w:w="3275"/>
        <w:gridCol w:w="5853"/>
      </w:tblGrid>
      <w:tr w:rsidR="009E3CDF" w:rsidRPr="00F84369" w:rsidTr="00C72EF4">
        <w:trPr>
          <w:trHeight w:val="20"/>
        </w:trPr>
        <w:tc>
          <w:tcPr>
            <w:tcW w:w="3275" w:type="dxa"/>
            <w:tcBorders>
              <w:top w:val="single" w:sz="2" w:space="0" w:color="000000"/>
              <w:left w:val="single" w:sz="2" w:space="0" w:color="000000"/>
              <w:bottom w:val="single" w:sz="2" w:space="0" w:color="000000"/>
              <w:right w:val="nil"/>
            </w:tcBorders>
            <w:shd w:val="clear" w:color="auto" w:fill="auto"/>
            <w:vAlign w:val="center"/>
          </w:tcPr>
          <w:p w:rsidR="009E3CDF" w:rsidRPr="00F84369" w:rsidRDefault="009E3CDF" w:rsidP="00F84369">
            <w:pPr>
              <w:pStyle w:val="Titre5tableau"/>
            </w:pPr>
            <w:r w:rsidRPr="00F84369">
              <w:t>Notions et contenus</w:t>
            </w:r>
          </w:p>
        </w:tc>
        <w:tc>
          <w:tcPr>
            <w:tcW w:w="58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E3CDF" w:rsidRPr="00F84369" w:rsidRDefault="009E3CDF" w:rsidP="00F84369">
            <w:pPr>
              <w:pStyle w:val="Titre5tableau"/>
            </w:pPr>
            <w:r w:rsidRPr="00F84369">
              <w:t>Capacités exigibles</w:t>
            </w:r>
          </w:p>
          <w:p w:rsidR="009E3CDF" w:rsidRPr="00F84369" w:rsidRDefault="009E3CDF" w:rsidP="00F84369">
            <w:pPr>
              <w:pStyle w:val="Titre5tableau"/>
            </w:pPr>
            <w:r w:rsidRPr="00F84369">
              <w:rPr>
                <w:i/>
              </w:rPr>
              <w:t>Activités technologiques support de la formation</w:t>
            </w:r>
          </w:p>
        </w:tc>
      </w:tr>
      <w:tr w:rsidR="008B2B5E" w:rsidRPr="00F84369" w:rsidTr="00C72EF4">
        <w:trPr>
          <w:trHeight w:val="20"/>
        </w:trPr>
        <w:tc>
          <w:tcPr>
            <w:tcW w:w="9509" w:type="dxa"/>
            <w:gridSpan w:val="2"/>
            <w:tcBorders>
              <w:top w:val="single" w:sz="2" w:space="0" w:color="000000"/>
              <w:left w:val="single" w:sz="2" w:space="0" w:color="000000"/>
              <w:bottom w:val="single" w:sz="2" w:space="0" w:color="000000"/>
              <w:right w:val="single" w:sz="2" w:space="0" w:color="000000"/>
            </w:tcBorders>
            <w:shd w:val="clear" w:color="auto" w:fill="auto"/>
          </w:tcPr>
          <w:p w:rsidR="008B2B5E" w:rsidRPr="00F84369" w:rsidRDefault="008B2B5E" w:rsidP="00F84369">
            <w:pPr>
              <w:pStyle w:val="Titre4tableau"/>
            </w:pPr>
            <w:r w:rsidRPr="00F84369">
              <w:t>Comment est assurée la transmission de la vie</w:t>
            </w:r>
            <w:r w:rsidR="001C1DC7" w:rsidRPr="00F84369">
              <w:t> ?</w:t>
            </w:r>
          </w:p>
          <w:p w:rsidR="008B2B5E" w:rsidRPr="00F84369" w:rsidRDefault="008B2B5E" w:rsidP="00F84369">
            <w:pPr>
              <w:pStyle w:val="Titre4tableau"/>
              <w:rPr>
                <w:i/>
              </w:rPr>
            </w:pPr>
            <w:r w:rsidRPr="00F84369">
              <w:t>Quels sont les moyens utilisés pour la maîtrise de la procréation</w:t>
            </w:r>
            <w:r w:rsidR="001C1DC7" w:rsidRPr="00F84369">
              <w:t> ?</w:t>
            </w:r>
          </w:p>
        </w:tc>
      </w:tr>
      <w:tr w:rsidR="00C72EF4" w:rsidRPr="00F84369" w:rsidTr="00C72EF4">
        <w:trPr>
          <w:trHeight w:val="20"/>
        </w:trPr>
        <w:tc>
          <w:tcPr>
            <w:tcW w:w="3411" w:type="dxa"/>
            <w:tcBorders>
              <w:top w:val="single" w:sz="2" w:space="0" w:color="000000"/>
              <w:left w:val="single" w:sz="2" w:space="0" w:color="000000"/>
              <w:bottom w:val="single" w:sz="2" w:space="0" w:color="000000"/>
              <w:right w:val="nil"/>
            </w:tcBorders>
            <w:shd w:val="clear" w:color="auto" w:fill="auto"/>
          </w:tcPr>
          <w:p w:rsidR="00C72EF4" w:rsidRPr="00F84369" w:rsidRDefault="00C72EF4" w:rsidP="00F84369">
            <w:pPr>
              <w:pStyle w:val="Titre5tableau"/>
              <w:keepNext w:val="0"/>
            </w:pPr>
            <w:r w:rsidRPr="00F84369">
              <w:t>Anatomie et physiologie des appareils reproducteurs.</w:t>
            </w:r>
          </w:p>
          <w:p w:rsidR="00C72EF4" w:rsidRPr="00F84369" w:rsidRDefault="00C72EF4" w:rsidP="00F84369">
            <w:pPr>
              <w:pStyle w:val="Contenudetableau"/>
            </w:pPr>
            <w:r w:rsidRPr="00F84369">
              <w:t>Anatomie des appareils reproducteurs.</w:t>
            </w:r>
          </w:p>
          <w:p w:rsidR="00C72EF4" w:rsidRPr="00F84369" w:rsidRDefault="00C72EF4" w:rsidP="00F84369">
            <w:pPr>
              <w:pStyle w:val="Contenudetableau"/>
            </w:pPr>
            <w:r w:rsidRPr="00F84369">
              <w:t xml:space="preserve">Gamétogenèse et </w:t>
            </w:r>
            <w:proofErr w:type="spellStart"/>
            <w:r w:rsidRPr="00F84369">
              <w:t>folliculogenèse</w:t>
            </w:r>
            <w:proofErr w:type="spellEnd"/>
            <w:r w:rsidRPr="00F84369">
              <w:t>.</w:t>
            </w:r>
          </w:p>
          <w:p w:rsidR="00C72EF4" w:rsidRDefault="00C72EF4" w:rsidP="00F84369">
            <w:pPr>
              <w:pStyle w:val="Contenudetableau"/>
            </w:pPr>
            <w:r w:rsidRPr="00F84369">
              <w:t>Haploïdie et diploïdie.</w:t>
            </w:r>
          </w:p>
          <w:p w:rsidR="00C72EF4" w:rsidRPr="00F84369" w:rsidRDefault="00C72EF4" w:rsidP="00F84369">
            <w:pPr>
              <w:pStyle w:val="Contenudetableau"/>
            </w:pPr>
            <w:r>
              <w:br/>
            </w:r>
          </w:p>
          <w:p w:rsidR="00C72EF4" w:rsidRPr="00F84369" w:rsidRDefault="00C72EF4" w:rsidP="00F84369">
            <w:pPr>
              <w:pStyle w:val="Titre5tableau"/>
            </w:pPr>
            <w:r w:rsidRPr="00F84369">
              <w:t>Fécondation, nidation et grossesse.</w:t>
            </w:r>
          </w:p>
          <w:p w:rsidR="00C72EF4" w:rsidRDefault="00C72EF4" w:rsidP="00F84369">
            <w:pPr>
              <w:pStyle w:val="Contenudetableau"/>
            </w:pPr>
          </w:p>
          <w:p w:rsidR="00C72EF4" w:rsidRDefault="00C72EF4" w:rsidP="00F84369">
            <w:pPr>
              <w:pStyle w:val="Contenudetableau"/>
            </w:pPr>
          </w:p>
          <w:p w:rsidR="00C72EF4" w:rsidRPr="00F84369" w:rsidRDefault="00C72EF4" w:rsidP="00F84369">
            <w:pPr>
              <w:pStyle w:val="Titre5tableau"/>
            </w:pPr>
          </w:p>
        </w:tc>
        <w:tc>
          <w:tcPr>
            <w:tcW w:w="6098" w:type="dxa"/>
            <w:tcBorders>
              <w:top w:val="single" w:sz="2" w:space="0" w:color="000000"/>
              <w:left w:val="single" w:sz="2" w:space="0" w:color="000000"/>
              <w:bottom w:val="single" w:sz="2" w:space="0" w:color="000000"/>
              <w:right w:val="single" w:sz="2" w:space="0" w:color="000000"/>
            </w:tcBorders>
            <w:shd w:val="clear" w:color="auto" w:fill="auto"/>
          </w:tcPr>
          <w:p w:rsidR="00C72EF4" w:rsidRPr="00F84369" w:rsidRDefault="00C72EF4" w:rsidP="00F84369">
            <w:pPr>
              <w:pStyle w:val="Contenudetableau"/>
            </w:pPr>
          </w:p>
          <w:p w:rsidR="00C72EF4" w:rsidRPr="00F84369" w:rsidRDefault="00C72EF4" w:rsidP="00F84369">
            <w:pPr>
              <w:pStyle w:val="Contenudetableau"/>
              <w:rPr>
                <w:i/>
              </w:rPr>
            </w:pPr>
            <w:r w:rsidRPr="00F84369">
              <w:t xml:space="preserve">Identifier les organes des appareils reproducteurs. </w:t>
            </w:r>
            <w:r w:rsidRPr="00F84369">
              <w:rPr>
                <w:i/>
              </w:rPr>
              <w:t>Observation de clichés d’imagerie médicale.</w:t>
            </w:r>
          </w:p>
          <w:p w:rsidR="00C72EF4" w:rsidRPr="00F84369" w:rsidRDefault="00C72EF4" w:rsidP="00F84369">
            <w:pPr>
              <w:pStyle w:val="Contenudetableau"/>
            </w:pPr>
            <w:r w:rsidRPr="00F84369">
              <w:t>Identifier les cellules de la spermatogenèse et de l’ovogenèse et leurs caractéristiques chromosomiques.</w:t>
            </w:r>
          </w:p>
          <w:p w:rsidR="00C72EF4" w:rsidRPr="00F84369" w:rsidRDefault="00C72EF4" w:rsidP="00F84369">
            <w:pPr>
              <w:pStyle w:val="Contenudetableau"/>
            </w:pPr>
            <w:r w:rsidRPr="00F84369">
              <w:t>Repérer les différents stades de développement du follicule.</w:t>
            </w:r>
          </w:p>
          <w:p w:rsidR="00C72EF4" w:rsidRPr="00F84369" w:rsidRDefault="00C72EF4" w:rsidP="00F84369">
            <w:pPr>
              <w:pStyle w:val="Contenudetableau"/>
              <w:rPr>
                <w:i/>
              </w:rPr>
            </w:pPr>
            <w:r w:rsidRPr="00F84369">
              <w:rPr>
                <w:i/>
              </w:rPr>
              <w:t>Observations au microscope de coupes d’ovaire et de testicule.</w:t>
            </w:r>
          </w:p>
          <w:p w:rsidR="00C72EF4" w:rsidRPr="00F84369" w:rsidRDefault="00C72EF4" w:rsidP="00F84369">
            <w:pPr>
              <w:pStyle w:val="Contenudetableau"/>
            </w:pPr>
            <w:r w:rsidRPr="00F84369">
              <w:t>Repérer le trajet des gamètes dans les voies génitales féminines.</w:t>
            </w:r>
          </w:p>
          <w:p w:rsidR="00C72EF4" w:rsidRPr="00F84369" w:rsidRDefault="00C72EF4" w:rsidP="00F84369">
            <w:pPr>
              <w:pStyle w:val="Contenudetableau"/>
            </w:pPr>
            <w:r w:rsidRPr="00F84369">
              <w:t>Localiser fécondation et nidation.</w:t>
            </w:r>
          </w:p>
          <w:p w:rsidR="00C72EF4" w:rsidRPr="00F84369" w:rsidRDefault="00C72EF4" w:rsidP="00F84369">
            <w:pPr>
              <w:pStyle w:val="Contenudetableau"/>
            </w:pPr>
            <w:r w:rsidRPr="00F84369">
              <w:t>Différencier embryon et fœtus.</w:t>
            </w:r>
          </w:p>
          <w:p w:rsidR="00C72EF4" w:rsidRPr="00F84369" w:rsidRDefault="00C72EF4" w:rsidP="00C72EF4">
            <w:pPr>
              <w:pStyle w:val="Contenudetableau"/>
              <w:rPr>
                <w:i/>
              </w:rPr>
            </w:pPr>
            <w:r w:rsidRPr="00F84369">
              <w:t>Repérer sur un schéma circulation maternelle et circulation fœtale.</w:t>
            </w:r>
          </w:p>
        </w:tc>
      </w:tr>
      <w:tr w:rsidR="00C72EF4" w:rsidRPr="00F84369" w:rsidTr="00C72EF4">
        <w:trPr>
          <w:trHeight w:val="20"/>
        </w:trPr>
        <w:tc>
          <w:tcPr>
            <w:tcW w:w="3275" w:type="dxa"/>
            <w:tcBorders>
              <w:top w:val="single" w:sz="2" w:space="0" w:color="000000"/>
              <w:left w:val="single" w:sz="2" w:space="0" w:color="000000"/>
              <w:right w:val="nil"/>
            </w:tcBorders>
            <w:shd w:val="clear" w:color="auto" w:fill="auto"/>
          </w:tcPr>
          <w:p w:rsidR="00C72EF4" w:rsidRDefault="00C72EF4" w:rsidP="00C72EF4">
            <w:pPr>
              <w:pStyle w:val="Contenudetableau"/>
            </w:pPr>
            <w:r w:rsidRPr="00F84369">
              <w:lastRenderedPageBreak/>
              <w:t xml:space="preserve">Échanges </w:t>
            </w:r>
            <w:proofErr w:type="spellStart"/>
            <w:r w:rsidRPr="00F84369">
              <w:t>transplacentaires</w:t>
            </w:r>
            <w:proofErr w:type="spellEnd"/>
            <w:r w:rsidRPr="00F84369">
              <w:t>.</w:t>
            </w:r>
          </w:p>
          <w:p w:rsidR="00C72EF4" w:rsidRPr="00F84369" w:rsidRDefault="00C72EF4" w:rsidP="00C72EF4">
            <w:pPr>
              <w:pStyle w:val="Contenudetableau"/>
            </w:pPr>
            <w:r>
              <w:br/>
            </w:r>
            <w:r>
              <w:br/>
            </w:r>
          </w:p>
          <w:p w:rsidR="00C72EF4" w:rsidRPr="00F84369" w:rsidRDefault="00C72EF4" w:rsidP="00C72EF4">
            <w:pPr>
              <w:pStyle w:val="Titre5tableau"/>
            </w:pPr>
            <w:r w:rsidRPr="00F84369">
              <w:t>Régulation de la fonction reproductrice.</w:t>
            </w:r>
          </w:p>
          <w:p w:rsidR="00C72EF4" w:rsidRPr="00F84369" w:rsidRDefault="00C72EF4" w:rsidP="00C72EF4">
            <w:pPr>
              <w:pStyle w:val="Contenudetableau"/>
            </w:pPr>
            <w:r w:rsidRPr="00F84369">
              <w:t xml:space="preserve">Complexe </w:t>
            </w:r>
            <w:proofErr w:type="spellStart"/>
            <w:r w:rsidRPr="00F84369">
              <w:t>hypothalamo</w:t>
            </w:r>
            <w:proofErr w:type="spellEnd"/>
            <w:r w:rsidRPr="00F84369">
              <w:t>-hypophysaire.</w:t>
            </w:r>
          </w:p>
          <w:p w:rsidR="00C72EF4" w:rsidRPr="00F84369" w:rsidRDefault="00C72EF4" w:rsidP="00C72EF4">
            <w:pPr>
              <w:pStyle w:val="Contenudetableau"/>
              <w:rPr>
                <w:i/>
                <w:iCs/>
                <w:color w:val="243F60" w:themeColor="accent1" w:themeShade="7F"/>
              </w:rPr>
            </w:pPr>
            <w:r w:rsidRPr="00F84369">
              <w:t>Chez l’homme :</w:t>
            </w:r>
          </w:p>
          <w:p w:rsidR="00C72EF4" w:rsidRPr="00F84369" w:rsidRDefault="00C72EF4" w:rsidP="00C72EF4">
            <w:pPr>
              <w:pStyle w:val="Contenudetableau"/>
            </w:pPr>
            <w:r w:rsidRPr="00F84369">
              <w:t>rôles de la testostérone, régulation de sa sécrétion.</w:t>
            </w:r>
          </w:p>
          <w:p w:rsidR="00C72EF4" w:rsidRPr="00F84369" w:rsidRDefault="00C72EF4" w:rsidP="00C72EF4">
            <w:pPr>
              <w:pStyle w:val="Contenudetableau"/>
            </w:pPr>
            <w:r w:rsidRPr="00F84369">
              <w:t>Chez la femme :</w:t>
            </w:r>
          </w:p>
          <w:p w:rsidR="00C72EF4" w:rsidRPr="00F84369" w:rsidRDefault="00C72EF4" w:rsidP="00C72EF4">
            <w:pPr>
              <w:pStyle w:val="Contenudetableau"/>
            </w:pPr>
            <w:r w:rsidRPr="00F84369">
              <w:t>fonctionnement cyclique.</w:t>
            </w:r>
            <w:r>
              <w:br/>
            </w:r>
          </w:p>
          <w:p w:rsidR="00C72EF4" w:rsidRDefault="00C72EF4" w:rsidP="00C72EF4">
            <w:pPr>
              <w:pStyle w:val="Contenudetableau"/>
            </w:pPr>
            <w:r w:rsidRPr="00F84369">
              <w:t>Contrôle hormonal.</w:t>
            </w:r>
            <w:r>
              <w:br/>
            </w:r>
          </w:p>
          <w:p w:rsidR="00C72EF4" w:rsidRPr="00F84369" w:rsidRDefault="00C72EF4" w:rsidP="00C72EF4">
            <w:pPr>
              <w:pStyle w:val="Contenudetableau"/>
            </w:pPr>
          </w:p>
          <w:p w:rsidR="00C72EF4" w:rsidRDefault="00C72EF4" w:rsidP="00C72EF4">
            <w:pPr>
              <w:pStyle w:val="Titre5tableau"/>
            </w:pPr>
            <w:r w:rsidRPr="00F84369">
              <w:t>Contraception.</w:t>
            </w:r>
            <w:r>
              <w:br/>
            </w:r>
            <w:r>
              <w:br/>
            </w:r>
          </w:p>
          <w:p w:rsidR="00C72EF4" w:rsidRPr="00F84369" w:rsidRDefault="00C72EF4" w:rsidP="00C72EF4">
            <w:pPr>
              <w:pStyle w:val="Titre5tableau"/>
            </w:pPr>
            <w:r>
              <w:br/>
            </w:r>
          </w:p>
          <w:p w:rsidR="00C72EF4" w:rsidRPr="00F84369" w:rsidRDefault="00C72EF4" w:rsidP="00C72EF4">
            <w:pPr>
              <w:pStyle w:val="Titre5tableau"/>
              <w:keepNext w:val="0"/>
            </w:pPr>
            <w:r w:rsidRPr="00F84369">
              <w:t>Interruption de grossesse.</w:t>
            </w:r>
          </w:p>
        </w:tc>
        <w:tc>
          <w:tcPr>
            <w:tcW w:w="5853" w:type="dxa"/>
            <w:tcBorders>
              <w:top w:val="single" w:sz="2" w:space="0" w:color="000000"/>
              <w:left w:val="single" w:sz="2" w:space="0" w:color="000000"/>
              <w:right w:val="single" w:sz="2" w:space="0" w:color="000000"/>
            </w:tcBorders>
            <w:shd w:val="clear" w:color="auto" w:fill="auto"/>
          </w:tcPr>
          <w:p w:rsidR="00C72EF4" w:rsidRPr="00F84369" w:rsidRDefault="00C72EF4" w:rsidP="00C72EF4">
            <w:pPr>
              <w:pStyle w:val="Contenudetableau"/>
            </w:pPr>
            <w:r w:rsidRPr="00F84369">
              <w:t>Comparer sang fœtal et sang maternel pour mettre en évidence la fonction d’échange du placenta.</w:t>
            </w:r>
          </w:p>
          <w:p w:rsidR="00C72EF4" w:rsidRPr="00F84369" w:rsidRDefault="00C72EF4" w:rsidP="00C72EF4">
            <w:pPr>
              <w:pStyle w:val="Contenudetableau"/>
            </w:pPr>
            <w:r w:rsidRPr="00F84369">
              <w:t>Justifier les mesures de prévention pour la femme enceinte.</w:t>
            </w:r>
          </w:p>
          <w:p w:rsidR="00C72EF4" w:rsidRPr="00F84369" w:rsidRDefault="00C72EF4" w:rsidP="00C72EF4">
            <w:pPr>
              <w:pStyle w:val="Contenudetableau"/>
            </w:pPr>
            <w:r w:rsidRPr="00F84369">
              <w:t xml:space="preserve">Localiser le complexe </w:t>
            </w:r>
            <w:proofErr w:type="spellStart"/>
            <w:r w:rsidRPr="00F84369">
              <w:t>hypothalamo</w:t>
            </w:r>
            <w:proofErr w:type="spellEnd"/>
            <w:r w:rsidRPr="00F84369">
              <w:t>-hypophysaire et en identifier les principaux éléments.</w:t>
            </w:r>
          </w:p>
          <w:p w:rsidR="00C72EF4" w:rsidRPr="00F84369" w:rsidRDefault="00C72EF4" w:rsidP="00C72EF4">
            <w:pPr>
              <w:pStyle w:val="Contenudetableau"/>
            </w:pPr>
            <w:r w:rsidRPr="00F84369">
              <w:t>Identifier les rôles de la testostérone. Mettre en évidence régulation de sa sécrétion.</w:t>
            </w:r>
          </w:p>
          <w:p w:rsidR="00C72EF4" w:rsidRPr="00F84369" w:rsidRDefault="00C72EF4" w:rsidP="00C72EF4">
            <w:pPr>
              <w:pStyle w:val="Contenudetableau"/>
            </w:pPr>
            <w:r w:rsidRPr="00F84369">
              <w:t>Construire un schéma de synthèse intégrant le rétrocontrôle négatif.</w:t>
            </w:r>
          </w:p>
          <w:p w:rsidR="00C72EF4" w:rsidRPr="00F84369" w:rsidRDefault="00C72EF4" w:rsidP="00C72EF4">
            <w:pPr>
              <w:pStyle w:val="Contenudetableau"/>
            </w:pPr>
            <w:r w:rsidRPr="00F84369">
              <w:t>Repérer le fonctionnement cyclique de l’utérus et des ovaires. En déduire la période de fécondité optimale.</w:t>
            </w:r>
          </w:p>
          <w:p w:rsidR="00C72EF4" w:rsidRPr="00F84369" w:rsidRDefault="00C72EF4" w:rsidP="00C72EF4">
            <w:pPr>
              <w:pStyle w:val="Contenudetableau"/>
            </w:pPr>
            <w:r w:rsidRPr="00F84369">
              <w:t>Identifier les rôles des œstrogènes et de la progestérone et mettre en évidence la régulation de leur sécrétion.</w:t>
            </w:r>
          </w:p>
          <w:p w:rsidR="00C72EF4" w:rsidRPr="00F84369" w:rsidRDefault="00C72EF4" w:rsidP="00C72EF4">
            <w:pPr>
              <w:pStyle w:val="Contenudetableau"/>
            </w:pPr>
            <w:r w:rsidRPr="00F84369">
              <w:t>Construire un schéma de synthèse intégrant les rétrocontrôles négatif et positif.</w:t>
            </w:r>
          </w:p>
          <w:p w:rsidR="00C72EF4" w:rsidRPr="00F84369" w:rsidRDefault="00C72EF4" w:rsidP="00C72EF4">
            <w:pPr>
              <w:pStyle w:val="Contenudetableau"/>
              <w:rPr>
                <w:i/>
              </w:rPr>
            </w:pPr>
            <w:r w:rsidRPr="00F84369">
              <w:rPr>
                <w:i/>
              </w:rPr>
              <w:t>Observations au microscope</w:t>
            </w:r>
            <w:r w:rsidRPr="00F84369">
              <w:rPr>
                <w:i/>
                <w:color w:val="FF0000"/>
              </w:rPr>
              <w:t xml:space="preserve"> </w:t>
            </w:r>
            <w:r w:rsidRPr="00F84369">
              <w:rPr>
                <w:i/>
              </w:rPr>
              <w:t>de coupes d’endomètre.</w:t>
            </w:r>
          </w:p>
          <w:p w:rsidR="00C72EF4" w:rsidRPr="00F84369" w:rsidRDefault="00C72EF4" w:rsidP="00C72EF4">
            <w:pPr>
              <w:pStyle w:val="Contenudetableau"/>
            </w:pPr>
            <w:r w:rsidRPr="00F84369">
              <w:t>Expliquer le mode d’action de différents moyens de contraception et indiquer les critères de choix du moyen de contraception le plus adapté au contexte.</w:t>
            </w:r>
          </w:p>
          <w:p w:rsidR="00C72EF4" w:rsidRPr="00F84369" w:rsidRDefault="00C72EF4" w:rsidP="00C72EF4">
            <w:pPr>
              <w:pStyle w:val="Contenudetableau"/>
              <w:rPr>
                <w:i/>
              </w:rPr>
            </w:pPr>
            <w:r w:rsidRPr="00F84369">
              <w:t>Identifier les moyens de contraception qui protègent contre les infections sexuelles transmissibles (IST).</w:t>
            </w:r>
          </w:p>
          <w:p w:rsidR="00C72EF4" w:rsidRPr="00F84369" w:rsidRDefault="00C72EF4" w:rsidP="00C72EF4">
            <w:pPr>
              <w:pStyle w:val="Contenudetableau"/>
            </w:pPr>
            <w:r w:rsidRPr="00F84369">
              <w:t>Relever les principales causes d’interruption physiologique de grossesse.</w:t>
            </w:r>
          </w:p>
          <w:p w:rsidR="00C72EF4" w:rsidRPr="00F84369" w:rsidRDefault="00C72EF4" w:rsidP="00C72EF4">
            <w:pPr>
              <w:pStyle w:val="Contenudetableau"/>
            </w:pPr>
            <w:r w:rsidRPr="00F84369">
              <w:t>Présenter le principe des interruptions médicamenteuse et chirurgicale de grossesse.</w:t>
            </w:r>
          </w:p>
        </w:tc>
      </w:tr>
      <w:tr w:rsidR="009E3CDF" w:rsidRPr="00F84369" w:rsidTr="00C72EF4">
        <w:trPr>
          <w:trHeight w:val="20"/>
        </w:trPr>
        <w:tc>
          <w:tcPr>
            <w:tcW w:w="3275" w:type="dxa"/>
            <w:tcBorders>
              <w:left w:val="single" w:sz="2" w:space="0" w:color="000000"/>
              <w:right w:val="nil"/>
            </w:tcBorders>
            <w:shd w:val="clear" w:color="auto" w:fill="auto"/>
          </w:tcPr>
          <w:p w:rsidR="009E3CDF" w:rsidRPr="00F84369" w:rsidRDefault="009E3CDF" w:rsidP="00F84369">
            <w:pPr>
              <w:pStyle w:val="Titre5tableau"/>
              <w:keepNext w:val="0"/>
              <w:spacing w:before="0"/>
            </w:pPr>
            <w:r w:rsidRPr="00F84369">
              <w:t>Examens</w:t>
            </w:r>
            <w:r w:rsidR="001C1DC7" w:rsidRPr="00F84369">
              <w:t> :</w:t>
            </w:r>
            <w:r w:rsidRPr="00F84369">
              <w:t xml:space="preserve"> suivi de grossesse</w:t>
            </w:r>
            <w:r w:rsidR="004F7A54" w:rsidRPr="00F84369">
              <w:t>.</w:t>
            </w:r>
          </w:p>
          <w:p w:rsidR="001C1DC7" w:rsidRPr="00F84369" w:rsidRDefault="004F7A54" w:rsidP="00F84369">
            <w:pPr>
              <w:pStyle w:val="Contenudetableau"/>
            </w:pPr>
            <w:r w:rsidRPr="00F84369">
              <w:t>É</w:t>
            </w:r>
            <w:r w:rsidR="009E3CDF" w:rsidRPr="00F84369">
              <w:t>chographie</w:t>
            </w:r>
            <w:r w:rsidRPr="00F84369">
              <w:t>.</w:t>
            </w:r>
          </w:p>
          <w:p w:rsidR="001C1DC7" w:rsidRPr="00F84369" w:rsidRDefault="009E3CDF" w:rsidP="00F84369">
            <w:pPr>
              <w:pStyle w:val="Contenudetableau"/>
            </w:pPr>
            <w:r w:rsidRPr="00F84369">
              <w:t>Un exemple de sérologie</w:t>
            </w:r>
            <w:r w:rsidR="004F7A54" w:rsidRPr="00F84369">
              <w:t>.</w:t>
            </w:r>
          </w:p>
          <w:p w:rsidR="009E3CDF" w:rsidRPr="00F84369" w:rsidRDefault="009E3CDF" w:rsidP="00F84369">
            <w:pPr>
              <w:pStyle w:val="Contenudetableau"/>
              <w:rPr>
                <w:color w:val="FF0000"/>
              </w:rPr>
            </w:pPr>
          </w:p>
        </w:tc>
        <w:tc>
          <w:tcPr>
            <w:tcW w:w="5853" w:type="dxa"/>
            <w:tcBorders>
              <w:left w:val="single" w:sz="2" w:space="0" w:color="000000"/>
              <w:right w:val="single" w:sz="2" w:space="0" w:color="000000"/>
            </w:tcBorders>
            <w:shd w:val="clear" w:color="auto" w:fill="auto"/>
          </w:tcPr>
          <w:p w:rsidR="001C1DC7" w:rsidRPr="00F84369" w:rsidRDefault="009E3CDF" w:rsidP="00F84369">
            <w:pPr>
              <w:pStyle w:val="Contenudetableau"/>
              <w:spacing w:before="0"/>
            </w:pPr>
            <w:r w:rsidRPr="00F84369">
              <w:t>Présenter l’intérêt de l’échographie dans le suivi de la grossesse.</w:t>
            </w:r>
          </w:p>
          <w:p w:rsidR="009E3CDF" w:rsidRPr="00F84369" w:rsidRDefault="009E3CDF" w:rsidP="00F84369">
            <w:pPr>
              <w:pStyle w:val="Contenudetableau"/>
            </w:pPr>
            <w:r w:rsidRPr="00F84369">
              <w:t>Montrer l’avantage de l’échographie par rapport aux autres techniques d’imagerie médical</w:t>
            </w:r>
            <w:r w:rsidR="00964828" w:rsidRPr="00F84369">
              <w:t>e.</w:t>
            </w:r>
          </w:p>
          <w:p w:rsidR="001C1DC7" w:rsidRPr="00F84369" w:rsidRDefault="009E3CDF" w:rsidP="00F84369">
            <w:pPr>
              <w:pStyle w:val="Contenudetableau"/>
            </w:pPr>
            <w:r w:rsidRPr="00F84369">
              <w:rPr>
                <w:i/>
              </w:rPr>
              <w:t>Observation de clichés d’imagerie médicale.</w:t>
            </w:r>
          </w:p>
          <w:p w:rsidR="009E3CDF" w:rsidRPr="00F84369" w:rsidRDefault="009E3CDF" w:rsidP="00F84369">
            <w:pPr>
              <w:pStyle w:val="Contenudetableau"/>
            </w:pPr>
            <w:r w:rsidRPr="00F84369">
              <w:t>Mettre en relation présence d’anticorps et infection (en cours ou passée).</w:t>
            </w:r>
          </w:p>
          <w:p w:rsidR="009E3CDF" w:rsidRPr="00F84369" w:rsidRDefault="009E3CDF" w:rsidP="00F84369">
            <w:pPr>
              <w:pStyle w:val="Contenudetableau"/>
            </w:pPr>
            <w:r w:rsidRPr="00F84369">
              <w:t>Expliquer l’intérêt du diag</w:t>
            </w:r>
            <w:r w:rsidR="00EF7BDB" w:rsidRPr="00F84369">
              <w:t>nostic dans le cadre du suivi de</w:t>
            </w:r>
            <w:r w:rsidRPr="00F84369">
              <w:t xml:space="preserve"> grossesse.</w:t>
            </w:r>
          </w:p>
          <w:p w:rsidR="009E3CDF" w:rsidRPr="00F84369" w:rsidRDefault="009E3CDF" w:rsidP="00F84369">
            <w:pPr>
              <w:pStyle w:val="Contenudetableau"/>
              <w:spacing w:after="0"/>
            </w:pPr>
            <w:r w:rsidRPr="00F84369">
              <w:rPr>
                <w:i/>
              </w:rPr>
              <w:t>Réalisation d’un sérodiagnostic.</w:t>
            </w:r>
          </w:p>
        </w:tc>
      </w:tr>
      <w:tr w:rsidR="009E3CDF" w:rsidRPr="00F84369" w:rsidTr="00C72EF4">
        <w:trPr>
          <w:trHeight w:val="20"/>
        </w:trPr>
        <w:tc>
          <w:tcPr>
            <w:tcW w:w="3275" w:type="dxa"/>
            <w:tcBorders>
              <w:left w:val="single" w:sz="2" w:space="0" w:color="000000"/>
              <w:right w:val="nil"/>
            </w:tcBorders>
            <w:shd w:val="clear" w:color="auto" w:fill="auto"/>
          </w:tcPr>
          <w:p w:rsidR="009E3CDF" w:rsidRPr="00F84369" w:rsidRDefault="009E3CDF" w:rsidP="00F84369">
            <w:pPr>
              <w:pStyle w:val="Contenudetableau"/>
              <w:spacing w:before="0"/>
            </w:pPr>
            <w:r w:rsidRPr="00F84369">
              <w:t>Amniocentèse et examen cytogénétique</w:t>
            </w:r>
            <w:r w:rsidR="004F7A54" w:rsidRPr="00F84369">
              <w:t>.</w:t>
            </w:r>
          </w:p>
        </w:tc>
        <w:tc>
          <w:tcPr>
            <w:tcW w:w="5853" w:type="dxa"/>
            <w:tcBorders>
              <w:left w:val="single" w:sz="2" w:space="0" w:color="000000"/>
              <w:right w:val="single" w:sz="2" w:space="0" w:color="000000"/>
            </w:tcBorders>
            <w:shd w:val="clear" w:color="auto" w:fill="auto"/>
          </w:tcPr>
          <w:p w:rsidR="009E3CDF" w:rsidRPr="00F84369" w:rsidRDefault="009E3CDF" w:rsidP="00F84369">
            <w:pPr>
              <w:pStyle w:val="Contenudetableau"/>
              <w:spacing w:before="0"/>
            </w:pPr>
            <w:r w:rsidRPr="00F84369">
              <w:t>Repérer une anomalie sur un caryotype.</w:t>
            </w:r>
          </w:p>
          <w:p w:rsidR="009E3CDF" w:rsidRPr="00F84369" w:rsidRDefault="009E3CDF" w:rsidP="00F84369">
            <w:pPr>
              <w:pStyle w:val="Contenudetableau"/>
              <w:spacing w:after="0"/>
            </w:pPr>
            <w:r w:rsidRPr="00F84369">
              <w:t>Citer les risques et les intérêts d’une amniocentèse</w:t>
            </w:r>
            <w:r w:rsidR="004F7A54" w:rsidRPr="00F84369">
              <w:t>.</w:t>
            </w:r>
          </w:p>
        </w:tc>
      </w:tr>
      <w:tr w:rsidR="009E3CDF" w:rsidRPr="00F84369" w:rsidTr="00C72EF4">
        <w:trPr>
          <w:trHeight w:val="20"/>
        </w:trPr>
        <w:tc>
          <w:tcPr>
            <w:tcW w:w="3275" w:type="dxa"/>
            <w:tcBorders>
              <w:left w:val="single" w:sz="2" w:space="0" w:color="000000"/>
              <w:bottom w:val="single" w:sz="2" w:space="0" w:color="000000"/>
              <w:right w:val="nil"/>
            </w:tcBorders>
            <w:shd w:val="clear" w:color="auto" w:fill="auto"/>
          </w:tcPr>
          <w:p w:rsidR="009E3CDF" w:rsidRPr="00F84369" w:rsidRDefault="009E3CDF" w:rsidP="00F84369">
            <w:pPr>
              <w:pStyle w:val="Titre5tableau"/>
              <w:keepNext w:val="0"/>
            </w:pPr>
            <w:r w:rsidRPr="00F84369">
              <w:t>Infertilité et aide médicale à la procréation</w:t>
            </w:r>
            <w:r w:rsidR="004F7A54" w:rsidRPr="00F84369">
              <w:t>.</w:t>
            </w:r>
          </w:p>
          <w:p w:rsidR="009E3CDF" w:rsidRPr="00F84369" w:rsidRDefault="009E3CDF" w:rsidP="00F84369">
            <w:pPr>
              <w:pStyle w:val="Contenudetableau"/>
            </w:pPr>
          </w:p>
        </w:tc>
        <w:tc>
          <w:tcPr>
            <w:tcW w:w="5853" w:type="dxa"/>
            <w:tcBorders>
              <w:left w:val="single" w:sz="2" w:space="0" w:color="000000"/>
              <w:bottom w:val="single" w:sz="2" w:space="0" w:color="000000"/>
              <w:right w:val="single" w:sz="2" w:space="0" w:color="000000"/>
            </w:tcBorders>
            <w:shd w:val="clear" w:color="auto" w:fill="auto"/>
          </w:tcPr>
          <w:p w:rsidR="001C1DC7" w:rsidRPr="00F84369" w:rsidRDefault="009E3CDF" w:rsidP="00F84369">
            <w:pPr>
              <w:pStyle w:val="Contenudetableau"/>
            </w:pPr>
            <w:r w:rsidRPr="00F84369">
              <w:t>Identifier les causes possibles d’une infertilité à partir de cas cliniques.</w:t>
            </w:r>
          </w:p>
          <w:p w:rsidR="009E3CDF" w:rsidRPr="00F84369" w:rsidRDefault="009E3CDF" w:rsidP="00F84369">
            <w:pPr>
              <w:pStyle w:val="Contenudetableau"/>
            </w:pPr>
            <w:r w:rsidRPr="00F84369">
              <w:t>Identifier le principe des différentes méthodes d’aide médicale à la procréation. Justifier le choix de la technique selon l’origine de l’infertilité.</w:t>
            </w:r>
          </w:p>
        </w:tc>
      </w:tr>
      <w:tr w:rsidR="009E3CDF" w:rsidRPr="00F84369" w:rsidTr="00C72EF4">
        <w:trPr>
          <w:trHeight w:val="20"/>
        </w:trPr>
        <w:tc>
          <w:tcPr>
            <w:tcW w:w="912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tcPr>
          <w:p w:rsidR="009E3CDF" w:rsidRPr="00F84369" w:rsidRDefault="009E3CDF" w:rsidP="00F84369">
            <w:pPr>
              <w:pStyle w:val="Contenudetableau"/>
            </w:pPr>
            <w:r w:rsidRPr="00F84369">
              <w:rPr>
                <w:b/>
              </w:rPr>
              <w:t>Racines</w:t>
            </w:r>
            <w:r w:rsidR="001C1DC7" w:rsidRPr="00F84369">
              <w:t> :</w:t>
            </w:r>
            <w:r w:rsidRPr="00F84369">
              <w:t xml:space="preserve"> </w:t>
            </w:r>
            <w:proofErr w:type="spellStart"/>
            <w:r w:rsidRPr="00F84369">
              <w:t>andr</w:t>
            </w:r>
            <w:proofErr w:type="spellEnd"/>
            <w:r w:rsidRPr="00F84369">
              <w:t xml:space="preserve">(o), </w:t>
            </w:r>
            <w:proofErr w:type="spellStart"/>
            <w:r w:rsidRPr="00F84369">
              <w:t>cervic</w:t>
            </w:r>
            <w:proofErr w:type="spellEnd"/>
            <w:r w:rsidRPr="00F84369">
              <w:t xml:space="preserve">(o), </w:t>
            </w:r>
            <w:proofErr w:type="spellStart"/>
            <w:r w:rsidRPr="00F84369">
              <w:t>gynéc</w:t>
            </w:r>
            <w:proofErr w:type="spellEnd"/>
            <w:r w:rsidRPr="00F84369">
              <w:t xml:space="preserve">(o), </w:t>
            </w:r>
            <w:proofErr w:type="spellStart"/>
            <w:r w:rsidRPr="00F84369">
              <w:t>hystér</w:t>
            </w:r>
            <w:proofErr w:type="spellEnd"/>
            <w:r w:rsidRPr="00F84369">
              <w:t xml:space="preserve">(o), </w:t>
            </w:r>
            <w:proofErr w:type="spellStart"/>
            <w:r w:rsidRPr="00F84369">
              <w:t>mamm</w:t>
            </w:r>
            <w:proofErr w:type="spellEnd"/>
            <w:r w:rsidRPr="00F84369">
              <w:t xml:space="preserve">(o), </w:t>
            </w:r>
            <w:proofErr w:type="spellStart"/>
            <w:r w:rsidRPr="00F84369">
              <w:t>mén</w:t>
            </w:r>
            <w:proofErr w:type="spellEnd"/>
            <w:r w:rsidRPr="00F84369">
              <w:t xml:space="preserve">(o), </w:t>
            </w:r>
            <w:proofErr w:type="spellStart"/>
            <w:r w:rsidRPr="00F84369">
              <w:t>métr</w:t>
            </w:r>
            <w:proofErr w:type="spellEnd"/>
            <w:r w:rsidRPr="00F84369">
              <w:t xml:space="preserve">(o), </w:t>
            </w:r>
            <w:proofErr w:type="spellStart"/>
            <w:r w:rsidRPr="00F84369">
              <w:t>o</w:t>
            </w:r>
            <w:r w:rsidR="00EF7BDB" w:rsidRPr="00F84369">
              <w:t>rchid</w:t>
            </w:r>
            <w:proofErr w:type="spellEnd"/>
            <w:r w:rsidR="00EF7BDB" w:rsidRPr="00F84369">
              <w:t xml:space="preserve">(o), </w:t>
            </w:r>
            <w:proofErr w:type="spellStart"/>
            <w:r w:rsidR="00EF7BDB" w:rsidRPr="00F84369">
              <w:t>ovari</w:t>
            </w:r>
            <w:proofErr w:type="spellEnd"/>
            <w:r w:rsidR="00EF7BDB" w:rsidRPr="00F84369">
              <w:t xml:space="preserve">(o), </w:t>
            </w:r>
            <w:proofErr w:type="spellStart"/>
            <w:r w:rsidR="00EF7BDB" w:rsidRPr="00F84369">
              <w:t>prostat</w:t>
            </w:r>
            <w:proofErr w:type="spellEnd"/>
            <w:r w:rsidR="00EF7BDB" w:rsidRPr="00F84369">
              <w:t>(o),</w:t>
            </w:r>
            <w:r w:rsidRPr="00F84369">
              <w:t xml:space="preserve"> </w:t>
            </w:r>
            <w:proofErr w:type="spellStart"/>
            <w:r w:rsidRPr="00F84369">
              <w:t>salping</w:t>
            </w:r>
            <w:proofErr w:type="spellEnd"/>
            <w:r w:rsidRPr="00F84369">
              <w:t xml:space="preserve">(o), </w:t>
            </w:r>
            <w:proofErr w:type="spellStart"/>
            <w:r w:rsidRPr="00F84369">
              <w:t>sperm</w:t>
            </w:r>
            <w:proofErr w:type="spellEnd"/>
            <w:r w:rsidRPr="00F84369">
              <w:t xml:space="preserve">(o), </w:t>
            </w:r>
            <w:proofErr w:type="spellStart"/>
            <w:r w:rsidRPr="00F84369">
              <w:t>sthén</w:t>
            </w:r>
            <w:proofErr w:type="spellEnd"/>
            <w:r w:rsidRPr="00F84369">
              <w:t xml:space="preserve">(o) </w:t>
            </w:r>
            <w:proofErr w:type="spellStart"/>
            <w:r w:rsidRPr="00F84369">
              <w:t>térat</w:t>
            </w:r>
            <w:proofErr w:type="spellEnd"/>
            <w:r w:rsidRPr="00F84369">
              <w:t>(o), vagin(o), vas(o)</w:t>
            </w:r>
            <w:r w:rsidR="004F7A54" w:rsidRPr="00F84369">
              <w:t>.</w:t>
            </w:r>
          </w:p>
        </w:tc>
      </w:tr>
      <w:tr w:rsidR="009E3CDF" w:rsidRPr="00F84369" w:rsidTr="00C72EF4">
        <w:trPr>
          <w:trHeight w:val="20"/>
        </w:trPr>
        <w:tc>
          <w:tcPr>
            <w:tcW w:w="9128"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tcPr>
          <w:p w:rsidR="009E3CDF" w:rsidRPr="00F84369" w:rsidRDefault="009E3CDF" w:rsidP="00F84369">
            <w:pPr>
              <w:pStyle w:val="Contenudetableau"/>
            </w:pPr>
            <w:bookmarkStart w:id="76" w:name="_Toc8396292"/>
            <w:bookmarkStart w:id="77" w:name="_Toc8815416"/>
            <w:bookmarkStart w:id="78" w:name="_Toc8816207"/>
            <w:r w:rsidRPr="00F84369">
              <w:rPr>
                <w:rFonts w:eastAsia="SimSun"/>
                <w:b/>
                <w:bCs/>
              </w:rPr>
              <w:t>Termes médicaux</w:t>
            </w:r>
            <w:r w:rsidR="001C1DC7" w:rsidRPr="00F84369">
              <w:rPr>
                <w:rFonts w:eastAsia="SimSun"/>
                <w:bCs/>
              </w:rPr>
              <w:t> :</w:t>
            </w:r>
            <w:r w:rsidRPr="00F84369">
              <w:rPr>
                <w:rFonts w:eastAsia="SimSun"/>
                <w:bCs/>
              </w:rPr>
              <w:t xml:space="preserve"> </w:t>
            </w:r>
            <w:r w:rsidRPr="00F84369">
              <w:t xml:space="preserve">azoospermie, </w:t>
            </w:r>
            <w:r w:rsidR="004F7A54" w:rsidRPr="00F84369">
              <w:t>ménopause.</w:t>
            </w:r>
            <w:bookmarkEnd w:id="76"/>
            <w:bookmarkEnd w:id="77"/>
            <w:bookmarkEnd w:id="78"/>
          </w:p>
        </w:tc>
      </w:tr>
    </w:tbl>
    <w:p w:rsidR="001A0519" w:rsidRPr="00F67910" w:rsidRDefault="001A0519" w:rsidP="00F84369">
      <w:pPr>
        <w:spacing w:before="0"/>
        <w:rPr>
          <w:sz w:val="2"/>
        </w:rPr>
      </w:pPr>
      <w:bookmarkStart w:id="79" w:name="_Toc8396293"/>
      <w:bookmarkStart w:id="80" w:name="_Toc8815417"/>
      <w:bookmarkStart w:id="81" w:name="_Toc8816208"/>
    </w:p>
    <w:p w:rsidR="009E3CDF" w:rsidRPr="007C780E" w:rsidRDefault="000D40C4" w:rsidP="00C72EF4">
      <w:pPr>
        <w:pStyle w:val="Titre4"/>
        <w:rPr>
          <w:rFonts w:eastAsia="Calibri"/>
        </w:rPr>
      </w:pPr>
      <w:r w:rsidRPr="007C780E">
        <w:rPr>
          <w:rFonts w:eastAsia="Calibri"/>
        </w:rPr>
        <w:lastRenderedPageBreak/>
        <w:t>Gènes e</w:t>
      </w:r>
      <w:r w:rsidR="009F1A53" w:rsidRPr="007C780E">
        <w:rPr>
          <w:rFonts w:eastAsia="Calibri"/>
        </w:rPr>
        <w:t>t</w:t>
      </w:r>
      <w:r w:rsidR="009E3CDF" w:rsidRPr="007C780E">
        <w:rPr>
          <w:rFonts w:eastAsia="Calibri"/>
        </w:rPr>
        <w:t xml:space="preserve"> transmission de l’information génétique</w:t>
      </w:r>
      <w:bookmarkEnd w:id="79"/>
      <w:bookmarkEnd w:id="80"/>
      <w:bookmarkEnd w:id="81"/>
      <w:r w:rsidR="00D92666" w:rsidRPr="007C780E">
        <w:rPr>
          <w:rFonts w:eastAsia="Calibri"/>
        </w:rPr>
        <w:t xml:space="preserve">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46"/>
        <w:gridCol w:w="5855"/>
      </w:tblGrid>
      <w:tr w:rsidR="009F1A53" w:rsidRPr="00BF4155" w:rsidTr="00C72EF4">
        <w:trPr>
          <w:trHeight w:val="20"/>
        </w:trPr>
        <w:tc>
          <w:tcPr>
            <w:tcW w:w="3246" w:type="dxa"/>
            <w:shd w:val="clear" w:color="auto" w:fill="auto"/>
            <w:vAlign w:val="center"/>
          </w:tcPr>
          <w:p w:rsidR="009F1A53" w:rsidRPr="00BF4155" w:rsidRDefault="009F1A53" w:rsidP="00C72EF4">
            <w:pPr>
              <w:pStyle w:val="Titre5tableau"/>
              <w:spacing w:before="40" w:after="40"/>
            </w:pPr>
            <w:r w:rsidRPr="00BF4155">
              <w:t>Notions et contenus</w:t>
            </w:r>
          </w:p>
        </w:tc>
        <w:tc>
          <w:tcPr>
            <w:tcW w:w="5854" w:type="dxa"/>
            <w:shd w:val="clear" w:color="auto" w:fill="auto"/>
            <w:vAlign w:val="center"/>
          </w:tcPr>
          <w:p w:rsidR="009F1A53" w:rsidRPr="00BF4155" w:rsidRDefault="009F1A53" w:rsidP="00C72EF4">
            <w:pPr>
              <w:pStyle w:val="Titre5tableau"/>
              <w:spacing w:before="40" w:after="40"/>
            </w:pPr>
            <w:r w:rsidRPr="00BF4155">
              <w:t>Capacités exigibles</w:t>
            </w:r>
          </w:p>
          <w:p w:rsidR="009F1A53" w:rsidRPr="00BF4155" w:rsidRDefault="009F1A53" w:rsidP="00C72EF4">
            <w:pPr>
              <w:pStyle w:val="Titre5tableau"/>
              <w:spacing w:before="40" w:after="40"/>
            </w:pPr>
            <w:r w:rsidRPr="00BF4155">
              <w:rPr>
                <w:i/>
              </w:rPr>
              <w:t>Activités technologiques support de la formation</w:t>
            </w:r>
          </w:p>
        </w:tc>
      </w:tr>
      <w:tr w:rsidR="008B2B5E" w:rsidRPr="00BF4155" w:rsidTr="00C72EF4">
        <w:trPr>
          <w:trHeight w:val="20"/>
        </w:trPr>
        <w:tc>
          <w:tcPr>
            <w:tcW w:w="9100" w:type="dxa"/>
            <w:gridSpan w:val="2"/>
            <w:shd w:val="clear" w:color="auto" w:fill="auto"/>
          </w:tcPr>
          <w:p w:rsidR="008B2B5E" w:rsidRPr="00BF4155" w:rsidRDefault="008B2B5E" w:rsidP="00BF4155">
            <w:pPr>
              <w:pStyle w:val="Titre4tableau"/>
              <w:rPr>
                <w:lang w:eastAsia="ja-JP"/>
              </w:rPr>
            </w:pPr>
            <w:r w:rsidRPr="00BF4155">
              <w:rPr>
                <w:lang w:eastAsia="ja-JP"/>
              </w:rPr>
              <w:t>Comment un caractère est-il déterminé par un gène</w:t>
            </w:r>
            <w:r w:rsidR="001C1DC7" w:rsidRPr="00BF4155">
              <w:rPr>
                <w:lang w:eastAsia="ja-JP"/>
              </w:rPr>
              <w:t> ?</w:t>
            </w:r>
          </w:p>
          <w:p w:rsidR="008B2B5E" w:rsidRPr="00BF4155" w:rsidRDefault="008B2B5E" w:rsidP="00BF4155">
            <w:pPr>
              <w:pStyle w:val="Titre4tableau"/>
            </w:pPr>
            <w:r w:rsidRPr="00BF4155">
              <w:rPr>
                <w:lang w:eastAsia="ja-JP"/>
              </w:rPr>
              <w:t>Qu’est-ce qu’une mutation génétique et quelles sont ses conséquences</w:t>
            </w:r>
            <w:r w:rsidR="001C1DC7" w:rsidRPr="00BF4155">
              <w:rPr>
                <w:lang w:eastAsia="ja-JP"/>
              </w:rPr>
              <w:t> ?</w:t>
            </w:r>
          </w:p>
        </w:tc>
      </w:tr>
      <w:tr w:rsidR="00C72EF4" w:rsidRPr="00BF4155" w:rsidTr="00C72EF4">
        <w:tc>
          <w:tcPr>
            <w:tcW w:w="3246" w:type="dxa"/>
            <w:shd w:val="clear" w:color="auto" w:fill="auto"/>
          </w:tcPr>
          <w:p w:rsidR="00C72EF4" w:rsidRPr="00BF4155" w:rsidRDefault="00C72EF4" w:rsidP="00C72EF4">
            <w:pPr>
              <w:pStyle w:val="Titre5tableau"/>
            </w:pPr>
            <w:r w:rsidRPr="00BF4155">
              <w:t>Cellule et information génétique.</w:t>
            </w:r>
          </w:p>
          <w:p w:rsidR="00C72EF4" w:rsidRPr="00BF4155" w:rsidRDefault="00C72EF4" w:rsidP="00C72EF4">
            <w:pPr>
              <w:pStyle w:val="Contenudetableau"/>
            </w:pPr>
            <w:r w:rsidRPr="00BF4155">
              <w:t>Chromosome et ADN.</w:t>
            </w:r>
          </w:p>
          <w:p w:rsidR="00C72EF4" w:rsidRPr="00BF4155" w:rsidRDefault="00C72EF4" w:rsidP="00C72EF4">
            <w:pPr>
              <w:pStyle w:val="Contenudetableau"/>
            </w:pPr>
            <w:r w:rsidRPr="00BF4155">
              <w:t>Transmission de l’information génétique lors de la division cellulaire.</w:t>
            </w:r>
          </w:p>
          <w:p w:rsidR="00C72EF4" w:rsidRPr="00BF4155" w:rsidRDefault="00C72EF4" w:rsidP="00C72EF4">
            <w:pPr>
              <w:pStyle w:val="Titre5tableau"/>
            </w:pPr>
            <w:r w:rsidRPr="00BF4155">
              <w:t>Du gène à la protéine.</w:t>
            </w:r>
          </w:p>
          <w:p w:rsidR="00C72EF4" w:rsidRPr="00BF4155" w:rsidRDefault="00C72EF4" w:rsidP="00C72EF4">
            <w:pPr>
              <w:pStyle w:val="Contenudetableau"/>
            </w:pPr>
            <w:r w:rsidRPr="00BF4155">
              <w:t>Transcription.</w:t>
            </w:r>
          </w:p>
          <w:p w:rsidR="00C72EF4" w:rsidRPr="00BF4155" w:rsidRDefault="00C72EF4" w:rsidP="00C72EF4">
            <w:pPr>
              <w:pStyle w:val="Contenudetableau"/>
            </w:pPr>
            <w:r w:rsidRPr="00BF4155">
              <w:t>Traduction et code génétique.</w:t>
            </w:r>
            <w:r>
              <w:br/>
            </w:r>
          </w:p>
          <w:p w:rsidR="00C72EF4" w:rsidRDefault="00C72EF4" w:rsidP="00C72EF4">
            <w:pPr>
              <w:pStyle w:val="Contenudetableau"/>
            </w:pPr>
            <w:r w:rsidRPr="00BF4155">
              <w:t>Mutation ponctuelle.</w:t>
            </w:r>
            <w:r>
              <w:br/>
            </w:r>
          </w:p>
          <w:p w:rsidR="00C72EF4" w:rsidRPr="00BF4155" w:rsidRDefault="00C72EF4" w:rsidP="00C72EF4">
            <w:pPr>
              <w:pStyle w:val="Contenudetableau"/>
            </w:pPr>
          </w:p>
          <w:p w:rsidR="00C72EF4" w:rsidRDefault="00C72EF4" w:rsidP="00C72EF4">
            <w:pPr>
              <w:pStyle w:val="Titre5tableau"/>
            </w:pPr>
            <w:r w:rsidRPr="00BF4155">
              <w:t>Transmission des caractères héréditaires.</w:t>
            </w:r>
          </w:p>
          <w:p w:rsidR="00C72EF4" w:rsidRDefault="00C72EF4" w:rsidP="00C72EF4">
            <w:pPr>
              <w:pStyle w:val="Titre5tableau"/>
            </w:pPr>
            <w:r>
              <w:br/>
            </w:r>
            <w:r>
              <w:br/>
            </w:r>
          </w:p>
          <w:p w:rsidR="00C72EF4" w:rsidRPr="00BF4155" w:rsidRDefault="00C72EF4" w:rsidP="00C72EF4">
            <w:pPr>
              <w:pStyle w:val="Titre5tableau"/>
            </w:pPr>
            <w:r>
              <w:br/>
            </w:r>
            <w:r>
              <w:br/>
            </w:r>
          </w:p>
          <w:p w:rsidR="00C72EF4" w:rsidRPr="00BF4155" w:rsidRDefault="00C72EF4" w:rsidP="00C72EF4">
            <w:pPr>
              <w:pStyle w:val="Titre5tableau"/>
              <w:spacing w:before="120"/>
            </w:pPr>
            <w:r w:rsidRPr="00BF4155">
              <w:t>Le cancer, une conséquence de mutations génétiques.</w:t>
            </w:r>
          </w:p>
          <w:p w:rsidR="00C72EF4" w:rsidRPr="00BF4155" w:rsidRDefault="00C72EF4" w:rsidP="00C72EF4">
            <w:pPr>
              <w:pStyle w:val="Contenudetableau"/>
            </w:pPr>
            <w:r w:rsidRPr="00BF4155">
              <w:t>Tumeur bénigne, tumeur maligne, métastases.</w:t>
            </w:r>
          </w:p>
          <w:p w:rsidR="00C72EF4" w:rsidRPr="00BF4155" w:rsidRDefault="00C72EF4" w:rsidP="00C72EF4">
            <w:pPr>
              <w:pStyle w:val="Titre5tableau"/>
            </w:pPr>
            <w:r w:rsidRPr="00BF4155">
              <w:t>Un exemple de cancer.</w:t>
            </w:r>
          </w:p>
          <w:p w:rsidR="00C72EF4" w:rsidRPr="00BF4155" w:rsidRDefault="00C72EF4" w:rsidP="00C72EF4">
            <w:pPr>
              <w:pStyle w:val="Contenudetableau"/>
            </w:pPr>
            <w:r w:rsidRPr="00BF4155">
              <w:t>Origine plurifactorielle.</w:t>
            </w:r>
          </w:p>
          <w:p w:rsidR="00C72EF4" w:rsidRPr="00BF4155" w:rsidRDefault="00C72EF4" w:rsidP="00C72EF4">
            <w:pPr>
              <w:pStyle w:val="Contenudetableau"/>
              <w:spacing w:after="0"/>
            </w:pPr>
            <w:r w:rsidRPr="00BF4155">
              <w:t>Dépistage, diagnostic et suivi :</w:t>
            </w:r>
          </w:p>
          <w:p w:rsidR="00C72EF4" w:rsidRPr="00BF4155" w:rsidRDefault="00C72EF4" w:rsidP="00C72EF4">
            <w:pPr>
              <w:pStyle w:val="Listetableau0"/>
              <w:spacing w:before="0"/>
            </w:pPr>
            <w:r w:rsidRPr="00BF4155">
              <w:t>examens anatomopathologiques ;</w:t>
            </w:r>
          </w:p>
          <w:p w:rsidR="00C72EF4" w:rsidRPr="00BF4155" w:rsidRDefault="00C72EF4" w:rsidP="00C72EF4">
            <w:pPr>
              <w:pStyle w:val="Listetableau0"/>
            </w:pPr>
            <w:r w:rsidRPr="00BF4155">
              <w:t>imagerie médicale ;</w:t>
            </w:r>
          </w:p>
          <w:p w:rsidR="00C72EF4" w:rsidRPr="00BF4155" w:rsidRDefault="00C72EF4" w:rsidP="00C72EF4">
            <w:pPr>
              <w:pStyle w:val="Listetableau0"/>
            </w:pPr>
            <w:r w:rsidRPr="00BF4155">
              <w:t>marqueurs tumoraux.</w:t>
            </w:r>
          </w:p>
          <w:p w:rsidR="00C72EF4" w:rsidRPr="00BF4155" w:rsidRDefault="00C72EF4" w:rsidP="00C72EF4">
            <w:pPr>
              <w:pStyle w:val="Contenudetableau"/>
              <w:spacing w:after="0"/>
            </w:pPr>
            <w:r w:rsidRPr="00BF4155">
              <w:t>Traitements :</w:t>
            </w:r>
          </w:p>
          <w:p w:rsidR="00C72EF4" w:rsidRPr="00BF4155" w:rsidRDefault="00C72EF4" w:rsidP="00C72EF4">
            <w:pPr>
              <w:pStyle w:val="Listetableau0"/>
              <w:spacing w:before="0"/>
            </w:pPr>
            <w:r w:rsidRPr="00BF4155">
              <w:t xml:space="preserve">chimiothérapie </w:t>
            </w:r>
            <w:proofErr w:type="spellStart"/>
            <w:r w:rsidRPr="00BF4155">
              <w:t>anticancéreuse</w:t>
            </w:r>
            <w:proofErr w:type="spellEnd"/>
            <w:r w:rsidR="00D91FCE">
              <w:t> ;</w:t>
            </w:r>
          </w:p>
          <w:p w:rsidR="00C72EF4" w:rsidRPr="00BF4155" w:rsidRDefault="00C72EF4" w:rsidP="00C72EF4">
            <w:pPr>
              <w:pStyle w:val="Listetableau0"/>
            </w:pPr>
            <w:r w:rsidRPr="00BF4155">
              <w:t>radiothérapie ;</w:t>
            </w:r>
          </w:p>
          <w:p w:rsidR="00C72EF4" w:rsidRPr="00BF4155" w:rsidRDefault="00C72EF4" w:rsidP="00C72EF4">
            <w:pPr>
              <w:pStyle w:val="Listetableau0"/>
            </w:pPr>
            <w:r w:rsidRPr="00BF4155">
              <w:t>chirurgie ;</w:t>
            </w:r>
          </w:p>
          <w:p w:rsidR="00C72EF4" w:rsidRPr="00BF4155" w:rsidRDefault="00C72EF4" w:rsidP="00C72EF4">
            <w:pPr>
              <w:pStyle w:val="Listetableau0"/>
            </w:pPr>
            <w:r w:rsidRPr="00BF4155">
              <w:t>autres traitements.</w:t>
            </w:r>
          </w:p>
        </w:tc>
        <w:tc>
          <w:tcPr>
            <w:tcW w:w="5854" w:type="dxa"/>
            <w:shd w:val="clear" w:color="auto" w:fill="auto"/>
          </w:tcPr>
          <w:p w:rsidR="00C72EF4" w:rsidRPr="00BF4155" w:rsidRDefault="00C72EF4" w:rsidP="00C72EF4">
            <w:pPr>
              <w:pStyle w:val="Contenudetableau"/>
            </w:pPr>
            <w:r w:rsidRPr="00BF4155">
              <w:t>Distinguer base azotée, nucléotide, ADN, chromatine, chromatides et chromosomes.</w:t>
            </w:r>
          </w:p>
          <w:p w:rsidR="00C72EF4" w:rsidRPr="00BF4155" w:rsidRDefault="00C72EF4" w:rsidP="00C72EF4">
            <w:pPr>
              <w:pStyle w:val="Contenudetableau"/>
            </w:pPr>
            <w:r w:rsidRPr="00BF4155">
              <w:t>Dégager l’importance de la division cellulaire pour le fonctionnement de l’organisme.</w:t>
            </w:r>
          </w:p>
          <w:p w:rsidR="00C72EF4" w:rsidRPr="00BF4155" w:rsidRDefault="00C72EF4" w:rsidP="00C72EF4">
            <w:pPr>
              <w:pStyle w:val="Contenudetableau"/>
              <w:rPr>
                <w:lang w:eastAsia="fr-FR"/>
              </w:rPr>
            </w:pPr>
            <w:r w:rsidRPr="00BF4155">
              <w:rPr>
                <w:lang w:eastAsia="fr-FR"/>
              </w:rPr>
              <w:t>Représenter les différents états du chromosome au cours du cycle cellulaire.</w:t>
            </w:r>
          </w:p>
          <w:p w:rsidR="00C72EF4" w:rsidRPr="00BF4155" w:rsidRDefault="00C72EF4" w:rsidP="00C72EF4">
            <w:pPr>
              <w:pStyle w:val="Contenudetableau"/>
            </w:pPr>
            <w:r w:rsidRPr="00BF4155">
              <w:t>Différencier et localiser transcription et traduction.</w:t>
            </w:r>
          </w:p>
          <w:p w:rsidR="00C72EF4" w:rsidRPr="00BF4155" w:rsidRDefault="00C72EF4" w:rsidP="00C72EF4">
            <w:pPr>
              <w:pStyle w:val="Contenudetableau"/>
            </w:pPr>
            <w:r w:rsidRPr="00BF4155">
              <w:t>Identifier les acteurs de la transcription et de la traduction.</w:t>
            </w:r>
          </w:p>
          <w:p w:rsidR="00C72EF4" w:rsidRPr="00BF4155" w:rsidRDefault="00C72EF4" w:rsidP="00C72EF4">
            <w:pPr>
              <w:pStyle w:val="Contenudetableau"/>
            </w:pPr>
            <w:r w:rsidRPr="00BF4155">
              <w:t>Transcrire une séquence d’ADN et traduire la séquence d’ARNm obtenue.</w:t>
            </w:r>
          </w:p>
          <w:p w:rsidR="00C72EF4" w:rsidRPr="00BF4155" w:rsidRDefault="00C72EF4" w:rsidP="00C72EF4">
            <w:pPr>
              <w:pStyle w:val="Contenudetableau"/>
            </w:pPr>
            <w:r w:rsidRPr="00BF4155">
              <w:t>Repérer une mutation et déterminer sa conséquence sur la séquence polypeptidique.</w:t>
            </w:r>
          </w:p>
          <w:p w:rsidR="00C72EF4" w:rsidRPr="00BF4155" w:rsidRDefault="00C72EF4" w:rsidP="00C72EF4">
            <w:pPr>
              <w:pStyle w:val="Contenudetableau"/>
              <w:rPr>
                <w:i/>
              </w:rPr>
            </w:pPr>
            <w:r w:rsidRPr="00BF4155">
              <w:rPr>
                <w:i/>
              </w:rPr>
              <w:t>Utilisation de logiciels dédiés.</w:t>
            </w:r>
          </w:p>
          <w:p w:rsidR="00C72EF4" w:rsidRPr="00BF4155" w:rsidRDefault="00C72EF4" w:rsidP="00C72EF4">
            <w:pPr>
              <w:pStyle w:val="Contenudetableau"/>
            </w:pPr>
            <w:r w:rsidRPr="00BF4155">
              <w:t>Distinguer gènes et allèles, phénotype et génotype, homozygotie et hétérozygotie, dominance, codominance et récessivité, gonosomes et autosomes.</w:t>
            </w:r>
          </w:p>
          <w:p w:rsidR="00C72EF4" w:rsidRPr="00BF4155" w:rsidRDefault="00C72EF4" w:rsidP="00C72EF4">
            <w:pPr>
              <w:pStyle w:val="Contenudetableau"/>
            </w:pPr>
            <w:r w:rsidRPr="00BF4155">
              <w:t>Analyser des arbres généalogiques pour en déduire le mode de transmission des caractères héréditaires et déterminer des génotypes.</w:t>
            </w:r>
          </w:p>
          <w:p w:rsidR="00C72EF4" w:rsidRPr="00BF4155" w:rsidRDefault="00C72EF4" w:rsidP="00C72EF4">
            <w:pPr>
              <w:pStyle w:val="Contenudetableau"/>
            </w:pPr>
            <w:r w:rsidRPr="00BF4155">
              <w:t>Réaliser un échiquier de croisement pour déterminer la probabilité de transmission d’un caractère à la descendance.</w:t>
            </w:r>
          </w:p>
          <w:p w:rsidR="00C72EF4" w:rsidRPr="00BF4155" w:rsidRDefault="00C72EF4" w:rsidP="00C72EF4">
            <w:pPr>
              <w:pStyle w:val="Contenudetableau"/>
            </w:pPr>
          </w:p>
          <w:p w:rsidR="00C72EF4" w:rsidRPr="00BF4155" w:rsidRDefault="00C72EF4" w:rsidP="00C72EF4">
            <w:pPr>
              <w:pStyle w:val="Contenudetableau"/>
            </w:pPr>
            <w:r w:rsidRPr="00BF4155">
              <w:t>Décrire les différentes étapes du développement d’un cancer : des mutations aux métastases.</w:t>
            </w:r>
          </w:p>
          <w:p w:rsidR="00C72EF4" w:rsidRDefault="00C72EF4" w:rsidP="00C72EF4">
            <w:pPr>
              <w:pStyle w:val="Contenudetableau"/>
            </w:pPr>
            <w:bookmarkStart w:id="82" w:name="_GoBack"/>
            <w:bookmarkEnd w:id="82"/>
          </w:p>
          <w:p w:rsidR="00C72EF4" w:rsidRPr="00BF4155" w:rsidRDefault="00C72EF4" w:rsidP="00C72EF4">
            <w:pPr>
              <w:pStyle w:val="Contenudetableau"/>
            </w:pPr>
            <w:r w:rsidRPr="00BF4155">
              <w:t>Repérer les principaux agents mutagènes et facteurs de risque.</w:t>
            </w:r>
          </w:p>
          <w:p w:rsidR="00C72EF4" w:rsidRPr="00BF4155" w:rsidRDefault="00C72EF4" w:rsidP="00C72EF4">
            <w:pPr>
              <w:pStyle w:val="Contenudetableau"/>
            </w:pPr>
            <w:r w:rsidRPr="00BF4155">
              <w:t>Les relier aux actions de prévention.</w:t>
            </w:r>
          </w:p>
          <w:p w:rsidR="00C72EF4" w:rsidRPr="00BF4155" w:rsidRDefault="00C72EF4" w:rsidP="00C72EF4">
            <w:pPr>
              <w:pStyle w:val="Contenudetableau"/>
            </w:pPr>
            <w:r w:rsidRPr="00BF4155">
              <w:t>Montrer l’intérêt des méthodes d’investigation dans le dépistage, le diagnostic et le suivi.</w:t>
            </w:r>
          </w:p>
          <w:p w:rsidR="00C72EF4" w:rsidRPr="00BF4155" w:rsidRDefault="00C72EF4" w:rsidP="00C72EF4">
            <w:pPr>
              <w:pStyle w:val="Contenudetableau"/>
            </w:pPr>
            <w:r w:rsidRPr="00BF4155">
              <w:rPr>
                <w:i/>
              </w:rPr>
              <w:t>Observation de clichés d’imagerie médicale.</w:t>
            </w:r>
          </w:p>
          <w:p w:rsidR="00C72EF4" w:rsidRDefault="00C72EF4" w:rsidP="00C72EF4">
            <w:pPr>
              <w:pStyle w:val="Contenudetableau"/>
            </w:pPr>
          </w:p>
          <w:p w:rsidR="00C72EF4" w:rsidRPr="00BF4155" w:rsidRDefault="00C72EF4" w:rsidP="00C72EF4">
            <w:pPr>
              <w:pStyle w:val="Contenudetableau"/>
            </w:pPr>
            <w:r w:rsidRPr="00BF4155">
              <w:t>Mettre en relation les mécanismes physiopathologiques avec les traitements. Expliquer les effets secondaires des différents traitements.</w:t>
            </w:r>
          </w:p>
        </w:tc>
      </w:tr>
      <w:tr w:rsidR="009E3CDF" w:rsidRPr="00E10257" w:rsidTr="00C72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9100"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tcPr>
          <w:p w:rsidR="009E3CDF" w:rsidRPr="00BF4155" w:rsidRDefault="009E3CDF" w:rsidP="00C72EF4">
            <w:pPr>
              <w:pStyle w:val="Contenudetableau"/>
              <w:rPr>
                <w:lang w:val="en-US"/>
              </w:rPr>
            </w:pPr>
            <w:proofErr w:type="spellStart"/>
            <w:r w:rsidRPr="00C72EF4">
              <w:rPr>
                <w:b/>
                <w:lang w:val="en-US"/>
              </w:rPr>
              <w:t>Racines</w:t>
            </w:r>
            <w:proofErr w:type="spellEnd"/>
            <w:r w:rsidR="001C1DC7" w:rsidRPr="00BF4155">
              <w:rPr>
                <w:lang w:val="en-US"/>
              </w:rPr>
              <w:t> :</w:t>
            </w:r>
            <w:r w:rsidRPr="00BF4155">
              <w:rPr>
                <w:lang w:val="en-US"/>
              </w:rPr>
              <w:t xml:space="preserve"> cancer(o), </w:t>
            </w:r>
            <w:proofErr w:type="spellStart"/>
            <w:r w:rsidRPr="00BF4155">
              <w:rPr>
                <w:lang w:val="en-US"/>
              </w:rPr>
              <w:t>carcin</w:t>
            </w:r>
            <w:proofErr w:type="spellEnd"/>
            <w:r w:rsidRPr="00BF4155">
              <w:rPr>
                <w:lang w:val="en-US"/>
              </w:rPr>
              <w:t xml:space="preserve">(o), </w:t>
            </w:r>
            <w:proofErr w:type="spellStart"/>
            <w:r w:rsidRPr="00BF4155">
              <w:rPr>
                <w:lang w:val="en-US"/>
              </w:rPr>
              <w:t>cary</w:t>
            </w:r>
            <w:proofErr w:type="spellEnd"/>
            <w:r w:rsidRPr="00BF4155">
              <w:rPr>
                <w:lang w:val="en-US"/>
              </w:rPr>
              <w:t xml:space="preserve">(o), </w:t>
            </w:r>
            <w:proofErr w:type="spellStart"/>
            <w:r w:rsidRPr="00BF4155">
              <w:rPr>
                <w:lang w:val="en-US"/>
              </w:rPr>
              <w:t>chimi</w:t>
            </w:r>
            <w:proofErr w:type="spellEnd"/>
            <w:r w:rsidRPr="00BF4155">
              <w:rPr>
                <w:lang w:val="en-US"/>
              </w:rPr>
              <w:t xml:space="preserve">(o), </w:t>
            </w:r>
            <w:proofErr w:type="spellStart"/>
            <w:r w:rsidRPr="00BF4155">
              <w:rPr>
                <w:lang w:val="en-US"/>
              </w:rPr>
              <w:t>iatr</w:t>
            </w:r>
            <w:proofErr w:type="spellEnd"/>
            <w:r w:rsidRPr="00BF4155">
              <w:rPr>
                <w:lang w:val="en-US"/>
              </w:rPr>
              <w:t xml:space="preserve">(o), </w:t>
            </w:r>
            <w:proofErr w:type="spellStart"/>
            <w:r w:rsidRPr="00BF4155">
              <w:rPr>
                <w:lang w:val="en-US"/>
              </w:rPr>
              <w:t>nuclé</w:t>
            </w:r>
            <w:proofErr w:type="spellEnd"/>
            <w:r w:rsidRPr="00BF4155">
              <w:rPr>
                <w:lang w:val="en-US"/>
              </w:rPr>
              <w:t xml:space="preserve">(o), </w:t>
            </w:r>
            <w:proofErr w:type="spellStart"/>
            <w:r w:rsidRPr="00BF4155">
              <w:rPr>
                <w:lang w:val="en-US"/>
              </w:rPr>
              <w:t>onc</w:t>
            </w:r>
            <w:proofErr w:type="spellEnd"/>
            <w:r w:rsidRPr="00BF4155">
              <w:rPr>
                <w:lang w:val="en-US"/>
              </w:rPr>
              <w:t xml:space="preserve">(o), </w:t>
            </w:r>
            <w:proofErr w:type="spellStart"/>
            <w:r w:rsidRPr="00BF4155">
              <w:rPr>
                <w:lang w:val="en-US"/>
              </w:rPr>
              <w:t>radi</w:t>
            </w:r>
            <w:proofErr w:type="spellEnd"/>
            <w:r w:rsidRPr="00BF4155">
              <w:rPr>
                <w:lang w:val="en-US"/>
              </w:rPr>
              <w:t>(o), tumor(o)</w:t>
            </w:r>
            <w:r w:rsidR="00983686" w:rsidRPr="00BF4155">
              <w:rPr>
                <w:lang w:val="en-US"/>
              </w:rPr>
              <w:t>.</w:t>
            </w:r>
          </w:p>
        </w:tc>
      </w:tr>
      <w:tr w:rsidR="009E3CDF" w:rsidRPr="00BF4155" w:rsidTr="00C72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9100"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0" w:type="dxa"/>
              <w:bottom w:w="0" w:type="dxa"/>
              <w:right w:w="0" w:type="dxa"/>
            </w:tcMar>
          </w:tcPr>
          <w:p w:rsidR="009E3CDF" w:rsidRPr="00BF4155" w:rsidRDefault="009E3CDF" w:rsidP="00C72EF4">
            <w:pPr>
              <w:pStyle w:val="Contenudetableau"/>
              <w:rPr>
                <w:color w:val="0070C0"/>
              </w:rPr>
            </w:pPr>
            <w:bookmarkStart w:id="83" w:name="_Toc8396294"/>
            <w:bookmarkStart w:id="84" w:name="_Toc8815418"/>
            <w:bookmarkStart w:id="85" w:name="_Toc8816209"/>
            <w:r w:rsidRPr="00C72EF4">
              <w:rPr>
                <w:b/>
                <w:bCs/>
              </w:rPr>
              <w:t>Termes médicaux</w:t>
            </w:r>
            <w:r w:rsidR="001C1DC7" w:rsidRPr="00BF4155">
              <w:rPr>
                <w:bCs/>
              </w:rPr>
              <w:t> :</w:t>
            </w:r>
            <w:r w:rsidRPr="00BF4155">
              <w:rPr>
                <w:bCs/>
              </w:rPr>
              <w:t xml:space="preserve"> biopsie, métastase, tumeur.</w:t>
            </w:r>
            <w:bookmarkEnd w:id="83"/>
            <w:bookmarkEnd w:id="84"/>
            <w:bookmarkEnd w:id="85"/>
          </w:p>
        </w:tc>
      </w:tr>
    </w:tbl>
    <w:p w:rsidR="005A3700" w:rsidRPr="00C72EF4" w:rsidRDefault="005A3700" w:rsidP="00C72EF4">
      <w:pPr>
        <w:spacing w:before="0"/>
        <w:rPr>
          <w:sz w:val="8"/>
        </w:rPr>
      </w:pPr>
    </w:p>
    <w:sectPr w:rsidR="005A3700" w:rsidRPr="00C72EF4" w:rsidSect="004B2A49">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0E" w:rsidRDefault="007C780E">
      <w:r>
        <w:separator/>
      </w:r>
    </w:p>
  </w:endnote>
  <w:endnote w:type="continuationSeparator" w:id="0">
    <w:p w:rsidR="007C780E" w:rsidRDefault="007C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0E" w:rsidRDefault="007C780E" w:rsidP="004B2A4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7C780E" w:rsidRPr="004B2A49" w:rsidRDefault="007C780E" w:rsidP="004B2A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0E" w:rsidRDefault="007C780E">
      <w:r>
        <w:separator/>
      </w:r>
    </w:p>
  </w:footnote>
  <w:footnote w:type="continuationSeparator" w:id="0">
    <w:p w:rsidR="007C780E" w:rsidRDefault="007C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0E" w:rsidRPr="004B2A49" w:rsidRDefault="007C780E" w:rsidP="004B2A49">
    <w:pPr>
      <w:pStyle w:val="En-tte"/>
    </w:pPr>
    <w:r>
      <w:rPr>
        <w:noProof/>
        <w:lang w:eastAsia="fr-FR"/>
      </w:rPr>
      <w:drawing>
        <wp:inline distT="0" distB="0" distL="0" distR="0" wp14:anchorId="3EAD153D" wp14:editId="1114A93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0E" w:rsidRDefault="00D91FCE" w:rsidP="002315F9">
    <w:pPr>
      <w:pStyle w:val="En-tte"/>
      <w:spacing w:after="0"/>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72BB5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846389"/>
    <w:multiLevelType w:val="hybridMultilevel"/>
    <w:tmpl w:val="9E9E9D92"/>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AF729B"/>
    <w:multiLevelType w:val="hybridMultilevel"/>
    <w:tmpl w:val="F66078D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4F74FF"/>
    <w:multiLevelType w:val="hybridMultilevel"/>
    <w:tmpl w:val="32680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650B2"/>
    <w:multiLevelType w:val="hybridMultilevel"/>
    <w:tmpl w:val="26C0E0C0"/>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93A63"/>
    <w:multiLevelType w:val="hybridMultilevel"/>
    <w:tmpl w:val="642A225C"/>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03485C"/>
    <w:multiLevelType w:val="multilevel"/>
    <w:tmpl w:val="7CFC6426"/>
    <w:lvl w:ilvl="0">
      <w:start w:val="1"/>
      <w:numFmt w:val="bullet"/>
      <w:lvlText w:val=""/>
      <w:lvlJc w:val="left"/>
      <w:pPr>
        <w:tabs>
          <w:tab w:val="num" w:pos="720"/>
        </w:tabs>
        <w:ind w:left="720" w:hanging="360"/>
      </w:pPr>
      <w:rPr>
        <w:rFonts w:ascii="Symbol" w:eastAsia="Symbol" w:hAnsi="Symbol" w:cs="Symbol" w:hint="default"/>
        <w:color w:val="0061AC"/>
        <w:sz w:val="24"/>
        <w:szCs w:val="24"/>
        <w:lang w:val="fr-FR" w:eastAsia="fr-FR" w:bidi="fr-FR"/>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1467F80"/>
    <w:multiLevelType w:val="hybridMultilevel"/>
    <w:tmpl w:val="F656EF10"/>
    <w:lvl w:ilvl="0" w:tplc="D8DADBE6">
      <w:start w:val="1"/>
      <w:numFmt w:val="bullet"/>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8B1B00"/>
    <w:multiLevelType w:val="hybridMultilevel"/>
    <w:tmpl w:val="2A9CE67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877B18"/>
    <w:multiLevelType w:val="hybridMultilevel"/>
    <w:tmpl w:val="10865B32"/>
    <w:lvl w:ilvl="0" w:tplc="F606F4A0">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C52D6A"/>
    <w:multiLevelType w:val="hybridMultilevel"/>
    <w:tmpl w:val="F224D49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EE3D89"/>
    <w:multiLevelType w:val="hybridMultilevel"/>
    <w:tmpl w:val="FB2C553A"/>
    <w:lvl w:ilvl="0" w:tplc="FB1AE09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8135A1"/>
    <w:multiLevelType w:val="hybridMultilevel"/>
    <w:tmpl w:val="47CE25C0"/>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9">
    <w:nsid w:val="501C7A79"/>
    <w:multiLevelType w:val="singleLevel"/>
    <w:tmpl w:val="65002466"/>
    <w:lvl w:ilvl="0">
      <w:start w:val="1"/>
      <w:numFmt w:val="bullet"/>
      <w:lvlText w:val=""/>
      <w:lvlJc w:val="left"/>
      <w:pPr>
        <w:ind w:left="720" w:hanging="360"/>
      </w:pPr>
      <w:rPr>
        <w:rFonts w:ascii="Symbol" w:eastAsia="Symbol" w:hAnsi="Symbol" w:cs="Symbol" w:hint="default"/>
        <w:color w:val="0061AC"/>
        <w:sz w:val="24"/>
        <w:szCs w:val="24"/>
        <w:lang w:val="fr-FR" w:eastAsia="fr-FR" w:bidi="fr-FR"/>
      </w:rPr>
    </w:lvl>
  </w:abstractNum>
  <w:abstractNum w:abstractNumId="2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EC2FB4"/>
    <w:multiLevelType w:val="hybridMultilevel"/>
    <w:tmpl w:val="A9E649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385A65"/>
    <w:multiLevelType w:val="hybridMultilevel"/>
    <w:tmpl w:val="4426C7C2"/>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6FC0C14"/>
    <w:multiLevelType w:val="hybridMultilevel"/>
    <w:tmpl w:val="9AE6F58A"/>
    <w:lvl w:ilvl="0" w:tplc="DF488C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586493"/>
    <w:multiLevelType w:val="hybridMultilevel"/>
    <w:tmpl w:val="B23881E2"/>
    <w:lvl w:ilvl="0" w:tplc="523ACA5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670A41"/>
    <w:multiLevelType w:val="hybridMultilevel"/>
    <w:tmpl w:val="2A28BD7A"/>
    <w:lvl w:ilvl="0" w:tplc="66DA1E20">
      <w:start w:val="4"/>
      <w:numFmt w:val="bullet"/>
      <w:pStyle w:val="Listetableau0"/>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5805DF"/>
    <w:multiLevelType w:val="hybridMultilevel"/>
    <w:tmpl w:val="8112FE3E"/>
    <w:lvl w:ilvl="0" w:tplc="241CC322">
      <w:start w:val="1"/>
      <w:numFmt w:val="bullet"/>
      <w:lvlText w:val=""/>
      <w:lvlJc w:val="left"/>
      <w:pPr>
        <w:ind w:left="72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5522B"/>
    <w:multiLevelType w:val="multilevel"/>
    <w:tmpl w:val="FD487F38"/>
    <w:lvl w:ilvl="0">
      <w:start w:val="1"/>
      <w:numFmt w:val="bullet"/>
      <w:lvlText w:val="­"/>
      <w:lvlJc w:val="left"/>
      <w:pPr>
        <w:tabs>
          <w:tab w:val="num" w:pos="360"/>
        </w:tabs>
        <w:ind w:left="360" w:hanging="36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2"/>
  </w:num>
  <w:num w:numId="4">
    <w:abstractNumId w:val="23"/>
  </w:num>
  <w:num w:numId="5">
    <w:abstractNumId w:val="2"/>
  </w:num>
  <w:num w:numId="6">
    <w:abstractNumId w:val="28"/>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num>
  <w:num w:numId="11">
    <w:abstractNumId w:val="17"/>
  </w:num>
  <w:num w:numId="12">
    <w:abstractNumId w:val="27"/>
  </w:num>
  <w:num w:numId="13">
    <w:abstractNumId w:val="9"/>
  </w:num>
  <w:num w:numId="14">
    <w:abstractNumId w:val="6"/>
  </w:num>
  <w:num w:numId="15">
    <w:abstractNumId w:val="13"/>
  </w:num>
  <w:num w:numId="16">
    <w:abstractNumId w:val="5"/>
  </w:num>
  <w:num w:numId="17">
    <w:abstractNumId w:val="3"/>
  </w:num>
  <w:num w:numId="18">
    <w:abstractNumId w:val="15"/>
  </w:num>
  <w:num w:numId="19">
    <w:abstractNumId w:val="7"/>
  </w:num>
  <w:num w:numId="20">
    <w:abstractNumId w:val="14"/>
  </w:num>
  <w:num w:numId="21">
    <w:abstractNumId w:val="0"/>
  </w:num>
  <w:num w:numId="22">
    <w:abstractNumId w:val="25"/>
  </w:num>
  <w:num w:numId="23">
    <w:abstractNumId w:val="4"/>
  </w:num>
  <w:num w:numId="24">
    <w:abstractNumId w:val="10"/>
  </w:num>
  <w:num w:numId="25">
    <w:abstractNumId w:val="12"/>
  </w:num>
  <w:num w:numId="26">
    <w:abstractNumId w:val="14"/>
  </w:num>
  <w:num w:numId="27">
    <w:abstractNumId w:val="21"/>
  </w:num>
  <w:num w:numId="28">
    <w:abstractNumId w:val="14"/>
  </w:num>
  <w:num w:numId="29">
    <w:abstractNumId w:val="4"/>
  </w:num>
  <w:num w:numId="30">
    <w:abstractNumId w:val="26"/>
  </w:num>
  <w:num w:numId="31">
    <w:abstractNumId w:val="4"/>
  </w:num>
  <w:num w:numId="32">
    <w:abstractNumId w:val="10"/>
  </w:num>
  <w:num w:numId="33">
    <w:abstractNumId w:val="20"/>
  </w:num>
  <w:num w:numId="34">
    <w:abstractNumId w:val="14"/>
  </w:num>
  <w:num w:numId="35">
    <w:abstractNumId w:val="2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DF"/>
    <w:rsid w:val="000108B5"/>
    <w:rsid w:val="00033E0A"/>
    <w:rsid w:val="00057904"/>
    <w:rsid w:val="00071090"/>
    <w:rsid w:val="00073FDA"/>
    <w:rsid w:val="00084D4B"/>
    <w:rsid w:val="00085EC7"/>
    <w:rsid w:val="00091131"/>
    <w:rsid w:val="00091D32"/>
    <w:rsid w:val="000A09F3"/>
    <w:rsid w:val="000A148D"/>
    <w:rsid w:val="000C20B0"/>
    <w:rsid w:val="000C7A05"/>
    <w:rsid w:val="000D0EF2"/>
    <w:rsid w:val="000D40C4"/>
    <w:rsid w:val="000D48C2"/>
    <w:rsid w:val="000D5553"/>
    <w:rsid w:val="000E26E0"/>
    <w:rsid w:val="000E4C21"/>
    <w:rsid w:val="000E7B30"/>
    <w:rsid w:val="000F7FC8"/>
    <w:rsid w:val="001015AC"/>
    <w:rsid w:val="001200C9"/>
    <w:rsid w:val="001243B0"/>
    <w:rsid w:val="00127FD5"/>
    <w:rsid w:val="00136860"/>
    <w:rsid w:val="00150DB3"/>
    <w:rsid w:val="00152CB3"/>
    <w:rsid w:val="0018099C"/>
    <w:rsid w:val="00181452"/>
    <w:rsid w:val="00191927"/>
    <w:rsid w:val="001A0519"/>
    <w:rsid w:val="001C1DC7"/>
    <w:rsid w:val="001D1045"/>
    <w:rsid w:val="001E1C18"/>
    <w:rsid w:val="001E5737"/>
    <w:rsid w:val="00200B37"/>
    <w:rsid w:val="00203A29"/>
    <w:rsid w:val="002315F9"/>
    <w:rsid w:val="002355A5"/>
    <w:rsid w:val="00236E39"/>
    <w:rsid w:val="002417B5"/>
    <w:rsid w:val="00251402"/>
    <w:rsid w:val="0025176A"/>
    <w:rsid w:val="002610F7"/>
    <w:rsid w:val="00264247"/>
    <w:rsid w:val="002660F6"/>
    <w:rsid w:val="00295C35"/>
    <w:rsid w:val="00297ABC"/>
    <w:rsid w:val="002A6030"/>
    <w:rsid w:val="002B2477"/>
    <w:rsid w:val="002D5DD5"/>
    <w:rsid w:val="002D6AEB"/>
    <w:rsid w:val="00303E25"/>
    <w:rsid w:val="0031189B"/>
    <w:rsid w:val="00326C84"/>
    <w:rsid w:val="00333F6F"/>
    <w:rsid w:val="003532E1"/>
    <w:rsid w:val="00361B05"/>
    <w:rsid w:val="00375517"/>
    <w:rsid w:val="00397976"/>
    <w:rsid w:val="003B4B6C"/>
    <w:rsid w:val="003C0E45"/>
    <w:rsid w:val="003C74D9"/>
    <w:rsid w:val="003E1DA5"/>
    <w:rsid w:val="003E55E4"/>
    <w:rsid w:val="00402CF9"/>
    <w:rsid w:val="004038FC"/>
    <w:rsid w:val="00406603"/>
    <w:rsid w:val="00411ABF"/>
    <w:rsid w:val="004230C1"/>
    <w:rsid w:val="004369ED"/>
    <w:rsid w:val="00447846"/>
    <w:rsid w:val="0044794F"/>
    <w:rsid w:val="004716A6"/>
    <w:rsid w:val="00480EFE"/>
    <w:rsid w:val="00483F01"/>
    <w:rsid w:val="00491064"/>
    <w:rsid w:val="0049260F"/>
    <w:rsid w:val="00496466"/>
    <w:rsid w:val="004A1153"/>
    <w:rsid w:val="004B2A49"/>
    <w:rsid w:val="004C209F"/>
    <w:rsid w:val="004C64D7"/>
    <w:rsid w:val="004C766B"/>
    <w:rsid w:val="004D0E1F"/>
    <w:rsid w:val="004E19F0"/>
    <w:rsid w:val="004F7A54"/>
    <w:rsid w:val="005020EB"/>
    <w:rsid w:val="00507115"/>
    <w:rsid w:val="00517B49"/>
    <w:rsid w:val="00527474"/>
    <w:rsid w:val="00533946"/>
    <w:rsid w:val="00533E8F"/>
    <w:rsid w:val="005422ED"/>
    <w:rsid w:val="005565B6"/>
    <w:rsid w:val="00562477"/>
    <w:rsid w:val="00562BD5"/>
    <w:rsid w:val="00581BFF"/>
    <w:rsid w:val="005854FA"/>
    <w:rsid w:val="00592C31"/>
    <w:rsid w:val="005A3700"/>
    <w:rsid w:val="005C426A"/>
    <w:rsid w:val="005D34A0"/>
    <w:rsid w:val="005F7211"/>
    <w:rsid w:val="00604FC2"/>
    <w:rsid w:val="00605975"/>
    <w:rsid w:val="00620D89"/>
    <w:rsid w:val="00630562"/>
    <w:rsid w:val="00633837"/>
    <w:rsid w:val="006338FC"/>
    <w:rsid w:val="006374AD"/>
    <w:rsid w:val="0064150C"/>
    <w:rsid w:val="00652F97"/>
    <w:rsid w:val="00660A73"/>
    <w:rsid w:val="00665E5A"/>
    <w:rsid w:val="00671B37"/>
    <w:rsid w:val="00683D75"/>
    <w:rsid w:val="0068509D"/>
    <w:rsid w:val="006A245A"/>
    <w:rsid w:val="006A5248"/>
    <w:rsid w:val="006C468B"/>
    <w:rsid w:val="006C4B63"/>
    <w:rsid w:val="006C5634"/>
    <w:rsid w:val="006D1D52"/>
    <w:rsid w:val="006D21A9"/>
    <w:rsid w:val="006E5724"/>
    <w:rsid w:val="00720A6A"/>
    <w:rsid w:val="007216EA"/>
    <w:rsid w:val="00737406"/>
    <w:rsid w:val="007459F9"/>
    <w:rsid w:val="007603E2"/>
    <w:rsid w:val="007704DE"/>
    <w:rsid w:val="00772907"/>
    <w:rsid w:val="00776742"/>
    <w:rsid w:val="00782EEF"/>
    <w:rsid w:val="00783681"/>
    <w:rsid w:val="007A4CBA"/>
    <w:rsid w:val="007A5B25"/>
    <w:rsid w:val="007B0CC5"/>
    <w:rsid w:val="007B4059"/>
    <w:rsid w:val="007C03F2"/>
    <w:rsid w:val="007C780E"/>
    <w:rsid w:val="007C7B73"/>
    <w:rsid w:val="007F47B2"/>
    <w:rsid w:val="008055D6"/>
    <w:rsid w:val="00816D88"/>
    <w:rsid w:val="00833BA9"/>
    <w:rsid w:val="008471E9"/>
    <w:rsid w:val="008614D2"/>
    <w:rsid w:val="008618B6"/>
    <w:rsid w:val="0086347B"/>
    <w:rsid w:val="00881C6F"/>
    <w:rsid w:val="00883E32"/>
    <w:rsid w:val="00886533"/>
    <w:rsid w:val="008929F4"/>
    <w:rsid w:val="00893590"/>
    <w:rsid w:val="008A3651"/>
    <w:rsid w:val="008A4561"/>
    <w:rsid w:val="008A4EF6"/>
    <w:rsid w:val="008A6416"/>
    <w:rsid w:val="008B2B5E"/>
    <w:rsid w:val="008C4814"/>
    <w:rsid w:val="008D701A"/>
    <w:rsid w:val="008E46BF"/>
    <w:rsid w:val="0090308D"/>
    <w:rsid w:val="00903190"/>
    <w:rsid w:val="00911FD8"/>
    <w:rsid w:val="009151F9"/>
    <w:rsid w:val="00921FF6"/>
    <w:rsid w:val="00932671"/>
    <w:rsid w:val="00937DAF"/>
    <w:rsid w:val="00940E0F"/>
    <w:rsid w:val="00964828"/>
    <w:rsid w:val="009771EC"/>
    <w:rsid w:val="00983686"/>
    <w:rsid w:val="00987CE0"/>
    <w:rsid w:val="009B77C3"/>
    <w:rsid w:val="009C1C21"/>
    <w:rsid w:val="009C7F69"/>
    <w:rsid w:val="009D7096"/>
    <w:rsid w:val="009D75D3"/>
    <w:rsid w:val="009E0E66"/>
    <w:rsid w:val="009E3CDF"/>
    <w:rsid w:val="009F1A53"/>
    <w:rsid w:val="00A026C5"/>
    <w:rsid w:val="00A13BE2"/>
    <w:rsid w:val="00A17FBC"/>
    <w:rsid w:val="00A206AA"/>
    <w:rsid w:val="00A270C4"/>
    <w:rsid w:val="00A32F17"/>
    <w:rsid w:val="00A41DAA"/>
    <w:rsid w:val="00A44C9D"/>
    <w:rsid w:val="00A60C4C"/>
    <w:rsid w:val="00A611B3"/>
    <w:rsid w:val="00A760A1"/>
    <w:rsid w:val="00AA5738"/>
    <w:rsid w:val="00AB69F0"/>
    <w:rsid w:val="00AC105B"/>
    <w:rsid w:val="00AD1E13"/>
    <w:rsid w:val="00AD65A6"/>
    <w:rsid w:val="00AE2F24"/>
    <w:rsid w:val="00AF5F61"/>
    <w:rsid w:val="00AF7798"/>
    <w:rsid w:val="00B17E4D"/>
    <w:rsid w:val="00B22121"/>
    <w:rsid w:val="00B3089E"/>
    <w:rsid w:val="00B54437"/>
    <w:rsid w:val="00B61663"/>
    <w:rsid w:val="00B623C6"/>
    <w:rsid w:val="00B80B63"/>
    <w:rsid w:val="00B8186B"/>
    <w:rsid w:val="00B81D16"/>
    <w:rsid w:val="00B8493F"/>
    <w:rsid w:val="00B85A68"/>
    <w:rsid w:val="00B979DA"/>
    <w:rsid w:val="00BA3AFE"/>
    <w:rsid w:val="00BA644F"/>
    <w:rsid w:val="00BB0BE8"/>
    <w:rsid w:val="00BB3EDB"/>
    <w:rsid w:val="00BB6390"/>
    <w:rsid w:val="00BD0E63"/>
    <w:rsid w:val="00BD550F"/>
    <w:rsid w:val="00BE19BD"/>
    <w:rsid w:val="00BF14A9"/>
    <w:rsid w:val="00BF33BA"/>
    <w:rsid w:val="00BF4155"/>
    <w:rsid w:val="00BF4F74"/>
    <w:rsid w:val="00C03EE7"/>
    <w:rsid w:val="00C05A4D"/>
    <w:rsid w:val="00C13728"/>
    <w:rsid w:val="00C16C45"/>
    <w:rsid w:val="00C30BCF"/>
    <w:rsid w:val="00C53333"/>
    <w:rsid w:val="00C605F4"/>
    <w:rsid w:val="00C61B84"/>
    <w:rsid w:val="00C72EF4"/>
    <w:rsid w:val="00C91300"/>
    <w:rsid w:val="00CB33B8"/>
    <w:rsid w:val="00CD175F"/>
    <w:rsid w:val="00CF275B"/>
    <w:rsid w:val="00D02AA3"/>
    <w:rsid w:val="00D06B5C"/>
    <w:rsid w:val="00D32E76"/>
    <w:rsid w:val="00D352CA"/>
    <w:rsid w:val="00D36717"/>
    <w:rsid w:val="00D6406C"/>
    <w:rsid w:val="00D712E9"/>
    <w:rsid w:val="00D76857"/>
    <w:rsid w:val="00D8121F"/>
    <w:rsid w:val="00D818A1"/>
    <w:rsid w:val="00D91FCE"/>
    <w:rsid w:val="00D92666"/>
    <w:rsid w:val="00DA5B3B"/>
    <w:rsid w:val="00DC67F8"/>
    <w:rsid w:val="00DD1766"/>
    <w:rsid w:val="00DD2B65"/>
    <w:rsid w:val="00DD2DD2"/>
    <w:rsid w:val="00DD574B"/>
    <w:rsid w:val="00DF4D7C"/>
    <w:rsid w:val="00E0325F"/>
    <w:rsid w:val="00E036C7"/>
    <w:rsid w:val="00E10257"/>
    <w:rsid w:val="00E20A69"/>
    <w:rsid w:val="00E2179E"/>
    <w:rsid w:val="00E2563B"/>
    <w:rsid w:val="00E26230"/>
    <w:rsid w:val="00E35004"/>
    <w:rsid w:val="00E408FB"/>
    <w:rsid w:val="00E40960"/>
    <w:rsid w:val="00E42164"/>
    <w:rsid w:val="00E543E2"/>
    <w:rsid w:val="00E65062"/>
    <w:rsid w:val="00E77FED"/>
    <w:rsid w:val="00ED1A3F"/>
    <w:rsid w:val="00ED6E57"/>
    <w:rsid w:val="00EE2484"/>
    <w:rsid w:val="00EE46E8"/>
    <w:rsid w:val="00EF0C16"/>
    <w:rsid w:val="00EF26D0"/>
    <w:rsid w:val="00EF76B1"/>
    <w:rsid w:val="00EF7BDB"/>
    <w:rsid w:val="00F1229E"/>
    <w:rsid w:val="00F17EA6"/>
    <w:rsid w:val="00F27D0D"/>
    <w:rsid w:val="00F547FD"/>
    <w:rsid w:val="00F54907"/>
    <w:rsid w:val="00F60B74"/>
    <w:rsid w:val="00F60C40"/>
    <w:rsid w:val="00F63CB3"/>
    <w:rsid w:val="00F64584"/>
    <w:rsid w:val="00F67910"/>
    <w:rsid w:val="00F74D90"/>
    <w:rsid w:val="00F81ABB"/>
    <w:rsid w:val="00F84369"/>
    <w:rsid w:val="00F8538E"/>
    <w:rsid w:val="00F90323"/>
    <w:rsid w:val="00F971E4"/>
    <w:rsid w:val="00FB4AFB"/>
    <w:rsid w:val="00FB7436"/>
    <w:rsid w:val="00FC2B1D"/>
    <w:rsid w:val="00FC2F9C"/>
    <w:rsid w:val="00FC338B"/>
    <w:rsid w:val="00FD134F"/>
    <w:rsid w:val="00FE49DD"/>
    <w:rsid w:val="00FF103F"/>
    <w:rsid w:val="00FF4A6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49"/>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4B2A4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B2A4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B2A4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B2A49"/>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B2A4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B2A49"/>
    <w:pPr>
      <w:keepNext/>
      <w:keepLines/>
      <w:spacing w:before="200"/>
      <w:ind w:left="340"/>
      <w:outlineLvl w:val="5"/>
    </w:pPr>
    <w:rPr>
      <w:i/>
      <w:iCs/>
    </w:rPr>
  </w:style>
  <w:style w:type="paragraph" w:styleId="Titre7">
    <w:name w:val="heading 7"/>
    <w:basedOn w:val="Normal"/>
    <w:next w:val="Normal"/>
    <w:link w:val="Titre7Car"/>
    <w:unhideWhenUsed/>
    <w:rsid w:val="004B2A4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B2A4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B2A49"/>
    <w:rPr>
      <w:rFonts w:ascii="Arial" w:eastAsia="Times New Roman" w:hAnsi="Arial" w:cs="Times New Roman"/>
      <w:b/>
      <w:bCs/>
      <w:color w:val="17818E"/>
      <w:sz w:val="32"/>
      <w:szCs w:val="28"/>
      <w:lang w:eastAsia="en-US"/>
    </w:rPr>
  </w:style>
  <w:style w:type="character" w:customStyle="1" w:styleId="Titre2Car">
    <w:name w:val="Titre 2 Car"/>
    <w:link w:val="Titre2"/>
    <w:rsid w:val="004B2A49"/>
    <w:rPr>
      <w:rFonts w:ascii="Arial" w:eastAsia="Times New Roman" w:hAnsi="Arial" w:cs="Times New Roman"/>
      <w:b/>
      <w:bCs/>
      <w:color w:val="17818E"/>
      <w:sz w:val="30"/>
      <w:szCs w:val="26"/>
      <w:lang w:eastAsia="en-US"/>
    </w:rPr>
  </w:style>
  <w:style w:type="character" w:customStyle="1" w:styleId="Titre3Car">
    <w:name w:val="Titre 3 Car"/>
    <w:link w:val="Titre3"/>
    <w:rsid w:val="004B2A49"/>
    <w:rPr>
      <w:rFonts w:ascii="Arial" w:eastAsia="Times New Roman" w:hAnsi="Arial" w:cs="Times New Roman"/>
      <w:bCs/>
      <w:color w:val="17818E"/>
      <w:sz w:val="28"/>
      <w:szCs w:val="22"/>
      <w:lang w:eastAsia="en-US"/>
    </w:rPr>
  </w:style>
  <w:style w:type="paragraph" w:styleId="En-tte">
    <w:name w:val="header"/>
    <w:basedOn w:val="Normal"/>
    <w:link w:val="En-tteCar"/>
    <w:unhideWhenUsed/>
    <w:rsid w:val="004B2A49"/>
    <w:pPr>
      <w:pBdr>
        <w:bottom w:val="single" w:sz="4" w:space="1" w:color="auto"/>
      </w:pBdr>
      <w:tabs>
        <w:tab w:val="left" w:pos="5026"/>
        <w:tab w:val="right" w:pos="9072"/>
      </w:tabs>
      <w:spacing w:before="160" w:after="480"/>
    </w:pPr>
  </w:style>
  <w:style w:type="character" w:customStyle="1" w:styleId="En-tteCar">
    <w:name w:val="En-tête Car"/>
    <w:link w:val="En-tte"/>
    <w:rsid w:val="004B2A49"/>
    <w:rPr>
      <w:rFonts w:ascii="Arial" w:eastAsia="Calibri" w:hAnsi="Arial" w:cs="Times New Roman"/>
      <w:sz w:val="22"/>
      <w:szCs w:val="22"/>
      <w:lang w:eastAsia="en-US"/>
    </w:rPr>
  </w:style>
  <w:style w:type="paragraph" w:styleId="Pieddepage">
    <w:name w:val="footer"/>
    <w:basedOn w:val="Normal"/>
    <w:link w:val="PieddepageCar"/>
    <w:unhideWhenUsed/>
    <w:rsid w:val="004B2A49"/>
    <w:pPr>
      <w:tabs>
        <w:tab w:val="center" w:pos="4536"/>
        <w:tab w:val="right" w:pos="9072"/>
      </w:tabs>
    </w:pPr>
  </w:style>
  <w:style w:type="character" w:customStyle="1" w:styleId="PieddepageCar">
    <w:name w:val="Pied de page Car"/>
    <w:link w:val="Pieddepage"/>
    <w:rsid w:val="004B2A49"/>
    <w:rPr>
      <w:rFonts w:ascii="Arial" w:eastAsia="Calibri" w:hAnsi="Arial" w:cs="Times New Roman"/>
      <w:sz w:val="22"/>
      <w:szCs w:val="22"/>
      <w:lang w:eastAsia="en-US"/>
    </w:rPr>
  </w:style>
  <w:style w:type="paragraph" w:styleId="Textedebulles">
    <w:name w:val="Balloon Text"/>
    <w:basedOn w:val="Normal"/>
    <w:link w:val="TextedebullesCar"/>
    <w:semiHidden/>
    <w:unhideWhenUsed/>
    <w:rsid w:val="004B2A49"/>
    <w:pPr>
      <w:spacing w:before="0"/>
    </w:pPr>
    <w:rPr>
      <w:rFonts w:ascii="Tahoma" w:hAnsi="Tahoma" w:cs="Tahoma"/>
      <w:sz w:val="16"/>
      <w:szCs w:val="16"/>
    </w:rPr>
  </w:style>
  <w:style w:type="character" w:styleId="Marquedecommentaire">
    <w:name w:val="annotation reference"/>
    <w:uiPriority w:val="99"/>
    <w:semiHidden/>
    <w:unhideWhenUsed/>
    <w:rsid w:val="004B2A49"/>
    <w:rPr>
      <w:sz w:val="16"/>
      <w:szCs w:val="16"/>
    </w:rPr>
  </w:style>
  <w:style w:type="paragraph" w:styleId="Commentaire">
    <w:name w:val="annotation text"/>
    <w:basedOn w:val="Normal"/>
    <w:link w:val="CommentaireCar"/>
    <w:uiPriority w:val="99"/>
    <w:rsid w:val="004B2A4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B2A49"/>
    <w:rPr>
      <w:rFonts w:ascii="Calibri" w:eastAsia="Times New Roman" w:hAnsi="Calibri" w:cs="Calibri"/>
      <w:sz w:val="22"/>
      <w:lang w:eastAsia="fr-FR"/>
    </w:rPr>
  </w:style>
  <w:style w:type="character" w:customStyle="1" w:styleId="TextedebullesCar">
    <w:name w:val="Texte de bulles Car"/>
    <w:basedOn w:val="Policepardfaut"/>
    <w:link w:val="Textedebulles"/>
    <w:semiHidden/>
    <w:rsid w:val="004B2A49"/>
    <w:rPr>
      <w:rFonts w:ascii="Tahoma" w:eastAsia="Calibri"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4B2A4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B2A49"/>
    <w:rPr>
      <w:rFonts w:ascii="Arial" w:eastAsia="Calibri" w:hAnsi="Arial" w:cs="Times New Roman"/>
      <w:b/>
      <w:bCs/>
      <w:sz w:val="22"/>
      <w:lang w:eastAsia="en-US"/>
    </w:rPr>
  </w:style>
  <w:style w:type="paragraph" w:styleId="Paragraphedeliste">
    <w:name w:val="List Paragraph"/>
    <w:basedOn w:val="Normal"/>
    <w:link w:val="ParagraphedelisteCar"/>
    <w:uiPriority w:val="34"/>
    <w:unhideWhenUsed/>
    <w:rsid w:val="004B2A49"/>
    <w:pPr>
      <w:numPr>
        <w:numId w:val="31"/>
      </w:numPr>
      <w:contextualSpacing/>
    </w:pPr>
  </w:style>
  <w:style w:type="character" w:styleId="Textedelespacerserv">
    <w:name w:val="Placeholder Text"/>
    <w:uiPriority w:val="99"/>
    <w:rsid w:val="004B2A49"/>
    <w:rPr>
      <w:rFonts w:cs="Times New Roman"/>
      <w:color w:val="808080"/>
    </w:rPr>
  </w:style>
  <w:style w:type="character" w:customStyle="1" w:styleId="Corpsdetexte3Car1">
    <w:name w:val="Corps de texte 3 Car1"/>
    <w:basedOn w:val="Policepardfaut"/>
    <w:uiPriority w:val="99"/>
    <w:semiHidden/>
    <w:rsid w:val="004B2A49"/>
    <w:rPr>
      <w:sz w:val="16"/>
      <w:szCs w:val="16"/>
      <w:lang w:eastAsia="en-US"/>
    </w:rPr>
  </w:style>
  <w:style w:type="paragraph" w:customStyle="1" w:styleId="Standard">
    <w:name w:val="Standard"/>
    <w:uiPriority w:val="99"/>
    <w:qFormat/>
    <w:rsid w:val="009E3CDF"/>
    <w:rPr>
      <w:rFonts w:ascii="Times New Roman" w:eastAsia="Andale Sans UI" w:hAnsi="Times New Roman" w:cs="Tahoma"/>
      <w:sz w:val="24"/>
      <w:szCs w:val="24"/>
      <w:lang w:val="en-US" w:eastAsia="en-US" w:bidi="en-US"/>
    </w:rPr>
  </w:style>
  <w:style w:type="paragraph" w:customStyle="1" w:styleId="Contenudetableau">
    <w:name w:val="Contenu de tableau"/>
    <w:basedOn w:val="Normal"/>
    <w:qFormat/>
    <w:rsid w:val="004B2A49"/>
    <w:pPr>
      <w:spacing w:after="60"/>
      <w:jc w:val="left"/>
    </w:pPr>
  </w:style>
  <w:style w:type="character" w:customStyle="1" w:styleId="Corpsdetexte2Car1">
    <w:name w:val="Corps de texte 2 Car1"/>
    <w:basedOn w:val="Policepardfaut"/>
    <w:uiPriority w:val="99"/>
    <w:semiHidden/>
    <w:rsid w:val="004B2A49"/>
    <w:rPr>
      <w:sz w:val="22"/>
      <w:szCs w:val="22"/>
      <w:lang w:eastAsia="en-US"/>
    </w:rPr>
  </w:style>
  <w:style w:type="paragraph" w:customStyle="1" w:styleId="Default">
    <w:name w:val="Default"/>
    <w:uiPriority w:val="99"/>
    <w:rsid w:val="004B2A49"/>
    <w:pPr>
      <w:widowControl w:val="0"/>
      <w:autoSpaceDE w:val="0"/>
      <w:autoSpaceDN w:val="0"/>
      <w:adjustRightInd w:val="0"/>
    </w:pPr>
    <w:rPr>
      <w:rFonts w:ascii="Arial" w:eastAsia="Times New Roman" w:hAnsi="Arial" w:cs="Arial"/>
      <w:color w:val="000000"/>
      <w:sz w:val="24"/>
      <w:szCs w:val="24"/>
      <w:lang w:eastAsia="fr-FR"/>
    </w:rPr>
  </w:style>
  <w:style w:type="paragraph" w:styleId="Rvision">
    <w:name w:val="Revision"/>
    <w:hidden/>
    <w:uiPriority w:val="99"/>
    <w:semiHidden/>
    <w:rsid w:val="009E3CDF"/>
    <w:rPr>
      <w:rFonts w:ascii="Calibri" w:eastAsia="Calibri" w:hAnsi="Calibri" w:cs="Times New Roman"/>
      <w:sz w:val="22"/>
      <w:szCs w:val="22"/>
      <w:lang w:eastAsia="en-US"/>
    </w:rPr>
  </w:style>
  <w:style w:type="paragraph" w:styleId="En-ttedetabledesmatires">
    <w:name w:val="TOC Heading"/>
    <w:basedOn w:val="Titre1"/>
    <w:next w:val="Normal"/>
    <w:uiPriority w:val="39"/>
    <w:unhideWhenUsed/>
    <w:qFormat/>
    <w:rsid w:val="004B2A49"/>
    <w:pPr>
      <w:spacing w:before="480" w:line="276" w:lineRule="auto"/>
      <w:jc w:val="left"/>
      <w:outlineLvl w:val="9"/>
    </w:pPr>
    <w:rPr>
      <w:rFonts w:ascii="Cambria" w:hAnsi="Cambria"/>
      <w:i/>
      <w:iCs/>
      <w:color w:val="365F91"/>
      <w:sz w:val="28"/>
    </w:rPr>
  </w:style>
  <w:style w:type="paragraph" w:styleId="TM1">
    <w:name w:val="toc 1"/>
    <w:basedOn w:val="Titre2"/>
    <w:next w:val="Normal"/>
    <w:autoRedefine/>
    <w:uiPriority w:val="39"/>
    <w:unhideWhenUsed/>
    <w:rsid w:val="004B2A4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B2A49"/>
    <w:pPr>
      <w:tabs>
        <w:tab w:val="left" w:pos="660"/>
        <w:tab w:val="right" w:pos="9344"/>
      </w:tabs>
      <w:spacing w:line="360" w:lineRule="auto"/>
    </w:pPr>
    <w:rPr>
      <w:noProof/>
      <w:color w:val="31849B"/>
      <w:sz w:val="28"/>
      <w:szCs w:val="28"/>
    </w:rPr>
  </w:style>
  <w:style w:type="paragraph" w:styleId="TM3">
    <w:name w:val="toc 3"/>
    <w:basedOn w:val="Normal"/>
    <w:next w:val="Normal"/>
    <w:autoRedefine/>
    <w:uiPriority w:val="39"/>
    <w:unhideWhenUsed/>
    <w:rsid w:val="004B2A49"/>
    <w:pPr>
      <w:spacing w:after="100"/>
      <w:ind w:left="440"/>
    </w:pPr>
  </w:style>
  <w:style w:type="character" w:styleId="Lienhypertexte">
    <w:name w:val="Hyperlink"/>
    <w:uiPriority w:val="99"/>
    <w:unhideWhenUsed/>
    <w:rsid w:val="004B2A49"/>
    <w:rPr>
      <w:color w:val="0000FF"/>
      <w:u w:val="single"/>
    </w:rPr>
  </w:style>
  <w:style w:type="paragraph" w:styleId="Sansinterligne">
    <w:name w:val="No Spacing"/>
    <w:uiPriority w:val="1"/>
    <w:unhideWhenUsed/>
    <w:rsid w:val="004B2A49"/>
    <w:rPr>
      <w:rFonts w:ascii="Calibri" w:eastAsia="Times New Roman" w:hAnsi="Calibri" w:cs="Times New Roman"/>
      <w:sz w:val="22"/>
      <w:szCs w:val="22"/>
      <w:lang w:eastAsia="en-US"/>
    </w:rPr>
  </w:style>
  <w:style w:type="paragraph" w:customStyle="1" w:styleId="Annexe">
    <w:name w:val="Annexe"/>
    <w:basedOn w:val="Normal"/>
    <w:next w:val="Normal"/>
    <w:qFormat/>
    <w:rsid w:val="004B2A49"/>
    <w:rPr>
      <w:b/>
      <w:color w:val="17818E"/>
    </w:rPr>
  </w:style>
  <w:style w:type="character" w:styleId="Appelnotedebasdep">
    <w:name w:val="footnote reference"/>
    <w:uiPriority w:val="99"/>
    <w:semiHidden/>
    <w:rsid w:val="004B2A49"/>
    <w:rPr>
      <w:rFonts w:cs="Times New Roman"/>
      <w:i/>
      <w:iCs/>
      <w:position w:val="6"/>
      <w:sz w:val="18"/>
      <w:szCs w:val="18"/>
      <w:vertAlign w:val="baseline"/>
    </w:rPr>
  </w:style>
  <w:style w:type="paragraph" w:styleId="Citationintense">
    <w:name w:val="Intense Quote"/>
    <w:aliases w:val="Entête"/>
    <w:basedOn w:val="Normal"/>
    <w:next w:val="Normal"/>
    <w:link w:val="CitationintenseCar"/>
    <w:uiPriority w:val="30"/>
    <w:unhideWhenUsed/>
    <w:rsid w:val="004B2A4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B2A49"/>
    <w:rPr>
      <w:rFonts w:ascii="Arial" w:eastAsia="Calibri" w:hAnsi="Arial" w:cs="Times New Roman"/>
      <w:bCs/>
      <w:iCs/>
      <w:sz w:val="22"/>
      <w:szCs w:val="22"/>
      <w:lang w:eastAsia="en-US"/>
    </w:rPr>
  </w:style>
  <w:style w:type="character" w:customStyle="1" w:styleId="CommentaireCar1">
    <w:name w:val="Commentaire Car1"/>
    <w:basedOn w:val="Policepardfaut"/>
    <w:uiPriority w:val="99"/>
    <w:semiHidden/>
    <w:rsid w:val="004B2A49"/>
    <w:rPr>
      <w:sz w:val="24"/>
      <w:szCs w:val="24"/>
      <w:lang w:eastAsia="en-US"/>
    </w:rPr>
  </w:style>
  <w:style w:type="character" w:customStyle="1" w:styleId="CorpsdetexteCar1">
    <w:name w:val="Corps de texte Car1"/>
    <w:basedOn w:val="Policepardfaut"/>
    <w:uiPriority w:val="99"/>
    <w:semiHidden/>
    <w:rsid w:val="004B2A49"/>
    <w:rPr>
      <w:sz w:val="22"/>
      <w:szCs w:val="22"/>
      <w:lang w:eastAsia="en-US"/>
    </w:rPr>
  </w:style>
  <w:style w:type="character" w:styleId="lev">
    <w:name w:val="Strong"/>
    <w:uiPriority w:val="22"/>
    <w:unhideWhenUsed/>
    <w:rsid w:val="004B2A49"/>
    <w:rPr>
      <w:b/>
      <w:bCs/>
    </w:rPr>
  </w:style>
  <w:style w:type="table" w:customStyle="1" w:styleId="Entte2">
    <w:name w:val="En tête 2"/>
    <w:basedOn w:val="TableauNormal"/>
    <w:uiPriority w:val="99"/>
    <w:rsid w:val="004B2A49"/>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B2A4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4B2A49"/>
    <w:pPr>
      <w:keepNext/>
      <w:tabs>
        <w:tab w:val="left" w:pos="849"/>
      </w:tabs>
      <w:spacing w:after="60"/>
      <w:ind w:left="57"/>
      <w:jc w:val="left"/>
    </w:pPr>
    <w:rPr>
      <w:rFonts w:cs="Arial"/>
      <w:color w:val="17818E"/>
      <w:szCs w:val="18"/>
    </w:rPr>
  </w:style>
  <w:style w:type="paragraph" w:customStyle="1" w:styleId="Grilleclaire-Accent31">
    <w:name w:val="Grille claire - Accent 31"/>
    <w:basedOn w:val="Normal"/>
    <w:uiPriority w:val="34"/>
    <w:unhideWhenUsed/>
    <w:qFormat/>
    <w:rsid w:val="004B2A49"/>
    <w:pPr>
      <w:ind w:left="720"/>
      <w:contextualSpacing/>
    </w:pPr>
    <w:rPr>
      <w:rFonts w:eastAsia="Times" w:cs="Times"/>
      <w:szCs w:val="18"/>
      <w:lang w:eastAsia="fr-FR"/>
    </w:rPr>
  </w:style>
  <w:style w:type="table" w:styleId="Grilledutableau">
    <w:name w:val="Table Grid"/>
    <w:basedOn w:val="TableauNormal"/>
    <w:rsid w:val="004B2A49"/>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B2A49"/>
    <w:pPr>
      <w:spacing w:line="280" w:lineRule="atLeast"/>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B2A49"/>
    <w:pPr>
      <w:spacing w:line="280" w:lineRule="atLeast"/>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4B2A49"/>
    <w:pPr>
      <w:ind w:left="720"/>
      <w:contextualSpacing/>
    </w:pPr>
    <w:rPr>
      <w:rFonts w:cs="Times"/>
      <w:szCs w:val="18"/>
      <w:lang w:eastAsia="fr-FR"/>
    </w:rPr>
  </w:style>
  <w:style w:type="paragraph" w:customStyle="1" w:styleId="Grillemoyenne2-Accent11">
    <w:name w:val="Grille moyenne 2 - Accent 11"/>
    <w:uiPriority w:val="1"/>
    <w:qFormat/>
    <w:rsid w:val="004B2A49"/>
    <w:rPr>
      <w:rFonts w:ascii="Calibri" w:eastAsia="Calibri" w:hAnsi="Calibri" w:cs="Times New Roman"/>
      <w:sz w:val="22"/>
      <w:szCs w:val="22"/>
      <w:lang w:eastAsia="en-US"/>
    </w:rPr>
  </w:style>
  <w:style w:type="character" w:styleId="Lienhypertextesuivivisit">
    <w:name w:val="FollowedHyperlink"/>
    <w:basedOn w:val="Policepardfaut"/>
    <w:uiPriority w:val="99"/>
    <w:semiHidden/>
    <w:unhideWhenUsed/>
    <w:rsid w:val="004B2A49"/>
    <w:rPr>
      <w:color w:val="800080" w:themeColor="followedHyperlink"/>
      <w:u w:val="single"/>
    </w:rPr>
  </w:style>
  <w:style w:type="paragraph" w:styleId="Liste0">
    <w:name w:val="List"/>
    <w:basedOn w:val="Normal"/>
    <w:uiPriority w:val="99"/>
    <w:semiHidden/>
    <w:unhideWhenUsed/>
    <w:rsid w:val="004B2A49"/>
    <w:pPr>
      <w:ind w:left="283" w:hanging="283"/>
      <w:contextualSpacing/>
    </w:pPr>
  </w:style>
  <w:style w:type="paragraph" w:customStyle="1" w:styleId="liste">
    <w:name w:val="liste"/>
    <w:basedOn w:val="Liste0"/>
    <w:next w:val="Normal"/>
    <w:qFormat/>
    <w:rsid w:val="004B2A49"/>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4B2A49"/>
    <w:pPr>
      <w:contextualSpacing/>
    </w:pPr>
  </w:style>
  <w:style w:type="paragraph" w:customStyle="1" w:styleId="Listecouleur-Accent11">
    <w:name w:val="Liste couleur - Accent 11"/>
    <w:basedOn w:val="Normal"/>
    <w:uiPriority w:val="34"/>
    <w:unhideWhenUsed/>
    <w:rsid w:val="004B2A4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B2A4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4B2A49"/>
    <w:rPr>
      <w:rFonts w:ascii="Calibri Light" w:eastAsia="MS Mincho" w:hAnsi="Calibri Light"/>
      <w:b/>
    </w:rPr>
  </w:style>
  <w:style w:type="character" w:customStyle="1" w:styleId="ParagraphedelisteCar">
    <w:name w:val="Paragraphe de liste Car"/>
    <w:link w:val="Paragraphedeliste"/>
    <w:uiPriority w:val="34"/>
    <w:locked/>
    <w:rsid w:val="004B2A49"/>
    <w:rPr>
      <w:rFonts w:ascii="Arial" w:eastAsia="Calibri" w:hAnsi="Arial" w:cs="Times New Roman"/>
      <w:sz w:val="22"/>
      <w:szCs w:val="22"/>
      <w:lang w:eastAsia="en-US"/>
    </w:rPr>
  </w:style>
  <w:style w:type="paragraph" w:customStyle="1" w:styleId="Listetableau0">
    <w:name w:val="Liste tableau"/>
    <w:basedOn w:val="Paragraphedeliste"/>
    <w:qFormat/>
    <w:rsid w:val="000D48C2"/>
    <w:pPr>
      <w:numPr>
        <w:numId w:val="30"/>
      </w:numPr>
      <w:spacing w:before="40" w:after="40"/>
      <w:ind w:left="227" w:hanging="170"/>
      <w:jc w:val="left"/>
    </w:pPr>
  </w:style>
  <w:style w:type="paragraph" w:customStyle="1" w:styleId="listetableau">
    <w:name w:val="liste tableau"/>
    <w:basedOn w:val="Normal"/>
    <w:qFormat/>
    <w:rsid w:val="004B2A49"/>
    <w:pPr>
      <w:widowControl w:val="0"/>
      <w:numPr>
        <w:numId w:val="22"/>
      </w:numPr>
      <w:autoSpaceDE w:val="0"/>
      <w:spacing w:before="0" w:after="60"/>
      <w:contextualSpacing/>
      <w:jc w:val="left"/>
    </w:pPr>
    <w:rPr>
      <w:rFonts w:cs="Arial"/>
      <w:color w:val="000000"/>
      <w:lang w:eastAsia="fr-FR"/>
    </w:rPr>
  </w:style>
  <w:style w:type="numbering" w:customStyle="1" w:styleId="Listetirets">
    <w:name w:val="Liste tirets"/>
    <w:basedOn w:val="Aucuneliste"/>
    <w:uiPriority w:val="99"/>
    <w:rsid w:val="004B2A49"/>
    <w:pPr>
      <w:numPr>
        <w:numId w:val="23"/>
      </w:numPr>
    </w:pPr>
  </w:style>
  <w:style w:type="paragraph" w:styleId="NormalWeb">
    <w:name w:val="Normal (Web)"/>
    <w:basedOn w:val="Normal"/>
    <w:uiPriority w:val="99"/>
    <w:rsid w:val="004B2A49"/>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4B2A4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B2A49"/>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4B2A49"/>
    <w:pPr>
      <w:ind w:right="203"/>
    </w:pPr>
    <w:rPr>
      <w:rFonts w:cs="Arial"/>
      <w:color w:val="808080"/>
      <w:szCs w:val="20"/>
    </w:rPr>
  </w:style>
  <w:style w:type="character" w:customStyle="1" w:styleId="NotesCar">
    <w:name w:val="Notes Car"/>
    <w:link w:val="Notes"/>
    <w:uiPriority w:val="1"/>
    <w:locked/>
    <w:rsid w:val="004B2A49"/>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B2A49"/>
    <w:pPr>
      <w:numPr>
        <w:numId w:val="32"/>
      </w:numPr>
    </w:pPr>
  </w:style>
  <w:style w:type="paragraph" w:customStyle="1" w:styleId="pucesdetableau">
    <w:name w:val="puces de tableau"/>
    <w:basedOn w:val="Normal"/>
    <w:qFormat/>
    <w:rsid w:val="004B2A49"/>
    <w:pPr>
      <w:numPr>
        <w:numId w:val="33"/>
      </w:numPr>
      <w:spacing w:after="60"/>
      <w:jc w:val="left"/>
    </w:pPr>
    <w:rPr>
      <w:rFonts w:eastAsiaTheme="minorHAnsi" w:cs="Arial"/>
      <w:szCs w:val="20"/>
    </w:rPr>
  </w:style>
  <w:style w:type="character" w:styleId="Rfrenceple">
    <w:name w:val="Subtle Reference"/>
    <w:uiPriority w:val="31"/>
    <w:unhideWhenUsed/>
    <w:rsid w:val="004B2A49"/>
    <w:rPr>
      <w:smallCaps/>
      <w:color w:val="C0504D"/>
      <w:u w:val="single"/>
    </w:rPr>
  </w:style>
  <w:style w:type="paragraph" w:styleId="Retraitcorpsdetexte2">
    <w:name w:val="Body Text Indent 2"/>
    <w:basedOn w:val="Normal"/>
    <w:link w:val="Retraitcorpsdetexte2Car"/>
    <w:semiHidden/>
    <w:rsid w:val="004B2A4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B2A49"/>
    <w:rPr>
      <w:rFonts w:ascii="Calibri" w:eastAsia="Times New Roman" w:hAnsi="Calibri" w:cs="Times New Roman"/>
      <w:sz w:val="22"/>
      <w:szCs w:val="22"/>
      <w:lang w:eastAsia="en-US"/>
    </w:rPr>
  </w:style>
  <w:style w:type="paragraph" w:customStyle="1" w:styleId="sommaire">
    <w:name w:val="sommaire"/>
    <w:basedOn w:val="Normal"/>
    <w:qFormat/>
    <w:rsid w:val="004B2A4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B2A49"/>
    <w:pPr>
      <w:numPr>
        <w:ilvl w:val="1"/>
      </w:numPr>
    </w:pPr>
  </w:style>
  <w:style w:type="paragraph" w:customStyle="1" w:styleId="stitre1">
    <w:name w:val="stitre1"/>
    <w:basedOn w:val="Normal"/>
    <w:semiHidden/>
    <w:rsid w:val="004B2A4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B2A49"/>
    <w:rPr>
      <w:rFonts w:ascii="Arial" w:eastAsia="Times New Roman" w:hAnsi="Arial" w:cs="Times New Roman"/>
      <w:b/>
      <w:bCs/>
      <w:iCs/>
      <w:color w:val="17818E"/>
      <w:sz w:val="22"/>
      <w:szCs w:val="22"/>
      <w:lang w:eastAsia="en-US"/>
    </w:rPr>
  </w:style>
  <w:style w:type="paragraph" w:customStyle="1" w:styleId="Titre4tableau">
    <w:name w:val="Titre 4 tableau"/>
    <w:basedOn w:val="Titre4"/>
    <w:qFormat/>
    <w:rsid w:val="004B2A49"/>
    <w:pPr>
      <w:numPr>
        <w:numId w:val="0"/>
      </w:numPr>
      <w:spacing w:before="60"/>
    </w:pPr>
  </w:style>
  <w:style w:type="character" w:customStyle="1" w:styleId="Titre5Car">
    <w:name w:val="Titre 5 Car"/>
    <w:link w:val="Titre5"/>
    <w:rsid w:val="004B2A49"/>
    <w:rPr>
      <w:rFonts w:ascii="Arial" w:eastAsia="Times New Roman" w:hAnsi="Arial" w:cs="Times New Roman"/>
      <w:b/>
      <w:sz w:val="22"/>
      <w:szCs w:val="22"/>
      <w:lang w:eastAsia="en-US"/>
    </w:rPr>
  </w:style>
  <w:style w:type="paragraph" w:customStyle="1" w:styleId="Titre5tableau">
    <w:name w:val="Titre 5 tableau"/>
    <w:basedOn w:val="Titre5"/>
    <w:qFormat/>
    <w:rsid w:val="000D48C2"/>
    <w:pPr>
      <w:spacing w:before="60" w:after="60"/>
      <w:ind w:left="0"/>
      <w:jc w:val="left"/>
    </w:pPr>
    <w:rPr>
      <w:rFonts w:eastAsia="MS Mincho"/>
      <w:lang w:eastAsia="fr-FR"/>
    </w:rPr>
  </w:style>
  <w:style w:type="character" w:customStyle="1" w:styleId="Titre6Car">
    <w:name w:val="Titre 6 Car"/>
    <w:link w:val="Titre6"/>
    <w:rsid w:val="004B2A49"/>
    <w:rPr>
      <w:rFonts w:ascii="Arial" w:eastAsia="Calibri" w:hAnsi="Arial" w:cs="Times New Roman"/>
      <w:i/>
      <w:iCs/>
      <w:sz w:val="22"/>
      <w:szCs w:val="22"/>
      <w:lang w:eastAsia="en-US"/>
    </w:rPr>
  </w:style>
  <w:style w:type="character" w:customStyle="1" w:styleId="Titre7Car">
    <w:name w:val="Titre 7 Car"/>
    <w:link w:val="Titre7"/>
    <w:rsid w:val="004B2A49"/>
    <w:rPr>
      <w:rFonts w:ascii="Cambria" w:eastAsia="Times New Roman" w:hAnsi="Cambria" w:cs="Times New Roman"/>
      <w:i/>
      <w:iCs/>
      <w:color w:val="404040"/>
      <w:sz w:val="22"/>
      <w:szCs w:val="22"/>
      <w:lang w:eastAsia="en-US"/>
    </w:rPr>
  </w:style>
  <w:style w:type="character" w:customStyle="1" w:styleId="Titre8Car">
    <w:name w:val="Titre 8 Car"/>
    <w:link w:val="Titre8"/>
    <w:rsid w:val="004B2A49"/>
    <w:rPr>
      <w:rFonts w:ascii="Cambria" w:eastAsia="Calibri" w:hAnsi="Cambria" w:cs="Times New Roman"/>
      <w:color w:val="404040"/>
      <w:sz w:val="22"/>
      <w:lang w:eastAsia="en-US"/>
    </w:rPr>
  </w:style>
  <w:style w:type="paragraph" w:customStyle="1" w:styleId="EPPDSTitre1">
    <w:name w:val="EPP DS Titre 1"/>
    <w:basedOn w:val="Normal"/>
    <w:uiPriority w:val="99"/>
    <w:rsid w:val="004B2A49"/>
    <w:pPr>
      <w:ind w:right="28"/>
      <w:jc w:val="center"/>
    </w:pPr>
    <w:rPr>
      <w:rFonts w:ascii="Calibri" w:eastAsia="Times New Roman" w:hAnsi="Calibri" w:cs="Calibri"/>
      <w:b/>
      <w:bCs/>
      <w:color w:val="1F497D"/>
      <w:sz w:val="40"/>
      <w:szCs w:val="40"/>
    </w:rPr>
  </w:style>
  <w:style w:type="paragraph" w:styleId="Index1">
    <w:name w:val="index 1"/>
    <w:basedOn w:val="Normal"/>
    <w:next w:val="Normal"/>
    <w:autoRedefine/>
    <w:uiPriority w:val="99"/>
    <w:unhideWhenUsed/>
    <w:rsid w:val="004B2A49"/>
    <w:pPr>
      <w:ind w:left="220" w:hanging="220"/>
    </w:pPr>
  </w:style>
  <w:style w:type="paragraph" w:styleId="Index2">
    <w:name w:val="index 2"/>
    <w:basedOn w:val="Normal"/>
    <w:next w:val="Normal"/>
    <w:autoRedefine/>
    <w:uiPriority w:val="99"/>
    <w:unhideWhenUsed/>
    <w:rsid w:val="004B2A49"/>
    <w:pPr>
      <w:ind w:left="440" w:hanging="220"/>
    </w:pPr>
  </w:style>
  <w:style w:type="paragraph" w:styleId="Index3">
    <w:name w:val="index 3"/>
    <w:basedOn w:val="Normal"/>
    <w:next w:val="Normal"/>
    <w:autoRedefine/>
    <w:uiPriority w:val="99"/>
    <w:unhideWhenUsed/>
    <w:rsid w:val="004B2A49"/>
    <w:pPr>
      <w:ind w:left="660" w:hanging="220"/>
    </w:pPr>
  </w:style>
  <w:style w:type="paragraph" w:styleId="Index4">
    <w:name w:val="index 4"/>
    <w:basedOn w:val="Normal"/>
    <w:next w:val="Normal"/>
    <w:autoRedefine/>
    <w:uiPriority w:val="99"/>
    <w:unhideWhenUsed/>
    <w:rsid w:val="004B2A49"/>
    <w:pPr>
      <w:ind w:left="880" w:hanging="220"/>
    </w:pPr>
  </w:style>
  <w:style w:type="paragraph" w:styleId="Index5">
    <w:name w:val="index 5"/>
    <w:basedOn w:val="Normal"/>
    <w:next w:val="Normal"/>
    <w:autoRedefine/>
    <w:uiPriority w:val="99"/>
    <w:unhideWhenUsed/>
    <w:rsid w:val="004B2A49"/>
    <w:pPr>
      <w:ind w:left="1100" w:hanging="220"/>
    </w:pPr>
  </w:style>
  <w:style w:type="paragraph" w:styleId="Index6">
    <w:name w:val="index 6"/>
    <w:basedOn w:val="Normal"/>
    <w:next w:val="Normal"/>
    <w:autoRedefine/>
    <w:uiPriority w:val="99"/>
    <w:unhideWhenUsed/>
    <w:rsid w:val="004B2A49"/>
    <w:pPr>
      <w:ind w:left="1320" w:hanging="220"/>
    </w:pPr>
  </w:style>
  <w:style w:type="paragraph" w:styleId="Index7">
    <w:name w:val="index 7"/>
    <w:basedOn w:val="Normal"/>
    <w:next w:val="Normal"/>
    <w:autoRedefine/>
    <w:uiPriority w:val="99"/>
    <w:unhideWhenUsed/>
    <w:rsid w:val="004B2A49"/>
    <w:pPr>
      <w:ind w:left="1540" w:hanging="220"/>
    </w:pPr>
  </w:style>
  <w:style w:type="paragraph" w:styleId="Index8">
    <w:name w:val="index 8"/>
    <w:basedOn w:val="Normal"/>
    <w:next w:val="Normal"/>
    <w:autoRedefine/>
    <w:uiPriority w:val="99"/>
    <w:unhideWhenUsed/>
    <w:rsid w:val="004B2A49"/>
    <w:pPr>
      <w:ind w:left="1760" w:hanging="220"/>
    </w:pPr>
  </w:style>
  <w:style w:type="paragraph" w:styleId="Index9">
    <w:name w:val="index 9"/>
    <w:basedOn w:val="Normal"/>
    <w:next w:val="Normal"/>
    <w:autoRedefine/>
    <w:uiPriority w:val="99"/>
    <w:unhideWhenUsed/>
    <w:rsid w:val="004B2A49"/>
    <w:pPr>
      <w:ind w:left="1980" w:hanging="220"/>
    </w:pPr>
  </w:style>
  <w:style w:type="paragraph" w:customStyle="1" w:styleId="Titre5numrot">
    <w:name w:val="Titre 5 numéroté"/>
    <w:basedOn w:val="Titre5"/>
    <w:qFormat/>
    <w:rsid w:val="004B2A49"/>
    <w:pPr>
      <w:numPr>
        <w:numId w:val="36"/>
      </w:numPr>
    </w:pPr>
  </w:style>
  <w:style w:type="paragraph" w:styleId="Titreindex">
    <w:name w:val="index heading"/>
    <w:basedOn w:val="Normal"/>
    <w:next w:val="Index1"/>
    <w:uiPriority w:val="99"/>
    <w:unhideWhenUsed/>
    <w:rsid w:val="004B2A49"/>
  </w:style>
  <w:style w:type="paragraph" w:styleId="Titre">
    <w:name w:val="Title"/>
    <w:aliases w:val="Titre annexe"/>
    <w:basedOn w:val="Normal"/>
    <w:next w:val="Normal"/>
    <w:link w:val="TitreCar"/>
    <w:uiPriority w:val="10"/>
    <w:qFormat/>
    <w:rsid w:val="004B2A49"/>
    <w:rPr>
      <w:b/>
      <w:color w:val="17818E"/>
    </w:rPr>
  </w:style>
  <w:style w:type="character" w:customStyle="1" w:styleId="TitreCar">
    <w:name w:val="Titre Car"/>
    <w:aliases w:val="Titre annexe Car"/>
    <w:basedOn w:val="Policepardfaut"/>
    <w:link w:val="Titre"/>
    <w:uiPriority w:val="10"/>
    <w:rsid w:val="004B2A49"/>
    <w:rPr>
      <w:rFonts w:ascii="Arial" w:eastAsia="Calibri" w:hAnsi="Arial" w:cs="Times New Roman"/>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49"/>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4B2A4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B2A4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B2A4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B2A49"/>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B2A4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B2A49"/>
    <w:pPr>
      <w:keepNext/>
      <w:keepLines/>
      <w:spacing w:before="200"/>
      <w:ind w:left="340"/>
      <w:outlineLvl w:val="5"/>
    </w:pPr>
    <w:rPr>
      <w:i/>
      <w:iCs/>
    </w:rPr>
  </w:style>
  <w:style w:type="paragraph" w:styleId="Titre7">
    <w:name w:val="heading 7"/>
    <w:basedOn w:val="Normal"/>
    <w:next w:val="Normal"/>
    <w:link w:val="Titre7Car"/>
    <w:unhideWhenUsed/>
    <w:rsid w:val="004B2A4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B2A4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B2A49"/>
    <w:rPr>
      <w:rFonts w:ascii="Arial" w:eastAsia="Times New Roman" w:hAnsi="Arial" w:cs="Times New Roman"/>
      <w:b/>
      <w:bCs/>
      <w:color w:val="17818E"/>
      <w:sz w:val="32"/>
      <w:szCs w:val="28"/>
      <w:lang w:eastAsia="en-US"/>
    </w:rPr>
  </w:style>
  <w:style w:type="character" w:customStyle="1" w:styleId="Titre2Car">
    <w:name w:val="Titre 2 Car"/>
    <w:link w:val="Titre2"/>
    <w:rsid w:val="004B2A49"/>
    <w:rPr>
      <w:rFonts w:ascii="Arial" w:eastAsia="Times New Roman" w:hAnsi="Arial" w:cs="Times New Roman"/>
      <w:b/>
      <w:bCs/>
      <w:color w:val="17818E"/>
      <w:sz w:val="30"/>
      <w:szCs w:val="26"/>
      <w:lang w:eastAsia="en-US"/>
    </w:rPr>
  </w:style>
  <w:style w:type="character" w:customStyle="1" w:styleId="Titre3Car">
    <w:name w:val="Titre 3 Car"/>
    <w:link w:val="Titre3"/>
    <w:rsid w:val="004B2A49"/>
    <w:rPr>
      <w:rFonts w:ascii="Arial" w:eastAsia="Times New Roman" w:hAnsi="Arial" w:cs="Times New Roman"/>
      <w:bCs/>
      <w:color w:val="17818E"/>
      <w:sz w:val="28"/>
      <w:szCs w:val="22"/>
      <w:lang w:eastAsia="en-US"/>
    </w:rPr>
  </w:style>
  <w:style w:type="paragraph" w:styleId="En-tte">
    <w:name w:val="header"/>
    <w:basedOn w:val="Normal"/>
    <w:link w:val="En-tteCar"/>
    <w:unhideWhenUsed/>
    <w:rsid w:val="004B2A49"/>
    <w:pPr>
      <w:pBdr>
        <w:bottom w:val="single" w:sz="4" w:space="1" w:color="auto"/>
      </w:pBdr>
      <w:tabs>
        <w:tab w:val="left" w:pos="5026"/>
        <w:tab w:val="right" w:pos="9072"/>
      </w:tabs>
      <w:spacing w:before="160" w:after="480"/>
    </w:pPr>
  </w:style>
  <w:style w:type="character" w:customStyle="1" w:styleId="En-tteCar">
    <w:name w:val="En-tête Car"/>
    <w:link w:val="En-tte"/>
    <w:rsid w:val="004B2A49"/>
    <w:rPr>
      <w:rFonts w:ascii="Arial" w:eastAsia="Calibri" w:hAnsi="Arial" w:cs="Times New Roman"/>
      <w:sz w:val="22"/>
      <w:szCs w:val="22"/>
      <w:lang w:eastAsia="en-US"/>
    </w:rPr>
  </w:style>
  <w:style w:type="paragraph" w:styleId="Pieddepage">
    <w:name w:val="footer"/>
    <w:basedOn w:val="Normal"/>
    <w:link w:val="PieddepageCar"/>
    <w:unhideWhenUsed/>
    <w:rsid w:val="004B2A49"/>
    <w:pPr>
      <w:tabs>
        <w:tab w:val="center" w:pos="4536"/>
        <w:tab w:val="right" w:pos="9072"/>
      </w:tabs>
    </w:pPr>
  </w:style>
  <w:style w:type="character" w:customStyle="1" w:styleId="PieddepageCar">
    <w:name w:val="Pied de page Car"/>
    <w:link w:val="Pieddepage"/>
    <w:rsid w:val="004B2A49"/>
    <w:rPr>
      <w:rFonts w:ascii="Arial" w:eastAsia="Calibri" w:hAnsi="Arial" w:cs="Times New Roman"/>
      <w:sz w:val="22"/>
      <w:szCs w:val="22"/>
      <w:lang w:eastAsia="en-US"/>
    </w:rPr>
  </w:style>
  <w:style w:type="paragraph" w:styleId="Textedebulles">
    <w:name w:val="Balloon Text"/>
    <w:basedOn w:val="Normal"/>
    <w:link w:val="TextedebullesCar"/>
    <w:semiHidden/>
    <w:unhideWhenUsed/>
    <w:rsid w:val="004B2A49"/>
    <w:pPr>
      <w:spacing w:before="0"/>
    </w:pPr>
    <w:rPr>
      <w:rFonts w:ascii="Tahoma" w:hAnsi="Tahoma" w:cs="Tahoma"/>
      <w:sz w:val="16"/>
      <w:szCs w:val="16"/>
    </w:rPr>
  </w:style>
  <w:style w:type="character" w:styleId="Marquedecommentaire">
    <w:name w:val="annotation reference"/>
    <w:uiPriority w:val="99"/>
    <w:semiHidden/>
    <w:unhideWhenUsed/>
    <w:rsid w:val="004B2A49"/>
    <w:rPr>
      <w:sz w:val="16"/>
      <w:szCs w:val="16"/>
    </w:rPr>
  </w:style>
  <w:style w:type="paragraph" w:styleId="Commentaire">
    <w:name w:val="annotation text"/>
    <w:basedOn w:val="Normal"/>
    <w:link w:val="CommentaireCar"/>
    <w:uiPriority w:val="99"/>
    <w:rsid w:val="004B2A4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B2A49"/>
    <w:rPr>
      <w:rFonts w:ascii="Calibri" w:eastAsia="Times New Roman" w:hAnsi="Calibri" w:cs="Calibri"/>
      <w:sz w:val="22"/>
      <w:lang w:eastAsia="fr-FR"/>
    </w:rPr>
  </w:style>
  <w:style w:type="character" w:customStyle="1" w:styleId="TextedebullesCar">
    <w:name w:val="Texte de bulles Car"/>
    <w:basedOn w:val="Policepardfaut"/>
    <w:link w:val="Textedebulles"/>
    <w:semiHidden/>
    <w:rsid w:val="004B2A49"/>
    <w:rPr>
      <w:rFonts w:ascii="Tahoma" w:eastAsia="Calibri"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4B2A4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B2A49"/>
    <w:rPr>
      <w:rFonts w:ascii="Arial" w:eastAsia="Calibri" w:hAnsi="Arial" w:cs="Times New Roman"/>
      <w:b/>
      <w:bCs/>
      <w:sz w:val="22"/>
      <w:lang w:eastAsia="en-US"/>
    </w:rPr>
  </w:style>
  <w:style w:type="paragraph" w:styleId="Paragraphedeliste">
    <w:name w:val="List Paragraph"/>
    <w:basedOn w:val="Normal"/>
    <w:link w:val="ParagraphedelisteCar"/>
    <w:uiPriority w:val="34"/>
    <w:unhideWhenUsed/>
    <w:rsid w:val="004B2A49"/>
    <w:pPr>
      <w:numPr>
        <w:numId w:val="31"/>
      </w:numPr>
      <w:contextualSpacing/>
    </w:pPr>
  </w:style>
  <w:style w:type="character" w:styleId="Textedelespacerserv">
    <w:name w:val="Placeholder Text"/>
    <w:uiPriority w:val="99"/>
    <w:rsid w:val="004B2A49"/>
    <w:rPr>
      <w:rFonts w:cs="Times New Roman"/>
      <w:color w:val="808080"/>
    </w:rPr>
  </w:style>
  <w:style w:type="character" w:customStyle="1" w:styleId="Corpsdetexte3Car1">
    <w:name w:val="Corps de texte 3 Car1"/>
    <w:basedOn w:val="Policepardfaut"/>
    <w:uiPriority w:val="99"/>
    <w:semiHidden/>
    <w:rsid w:val="004B2A49"/>
    <w:rPr>
      <w:sz w:val="16"/>
      <w:szCs w:val="16"/>
      <w:lang w:eastAsia="en-US"/>
    </w:rPr>
  </w:style>
  <w:style w:type="paragraph" w:customStyle="1" w:styleId="Standard">
    <w:name w:val="Standard"/>
    <w:uiPriority w:val="99"/>
    <w:qFormat/>
    <w:rsid w:val="009E3CDF"/>
    <w:rPr>
      <w:rFonts w:ascii="Times New Roman" w:eastAsia="Andale Sans UI" w:hAnsi="Times New Roman" w:cs="Tahoma"/>
      <w:sz w:val="24"/>
      <w:szCs w:val="24"/>
      <w:lang w:val="en-US" w:eastAsia="en-US" w:bidi="en-US"/>
    </w:rPr>
  </w:style>
  <w:style w:type="paragraph" w:customStyle="1" w:styleId="Contenudetableau">
    <w:name w:val="Contenu de tableau"/>
    <w:basedOn w:val="Normal"/>
    <w:qFormat/>
    <w:rsid w:val="004B2A49"/>
    <w:pPr>
      <w:spacing w:after="60"/>
      <w:jc w:val="left"/>
    </w:pPr>
  </w:style>
  <w:style w:type="character" w:customStyle="1" w:styleId="Corpsdetexte2Car1">
    <w:name w:val="Corps de texte 2 Car1"/>
    <w:basedOn w:val="Policepardfaut"/>
    <w:uiPriority w:val="99"/>
    <w:semiHidden/>
    <w:rsid w:val="004B2A49"/>
    <w:rPr>
      <w:sz w:val="22"/>
      <w:szCs w:val="22"/>
      <w:lang w:eastAsia="en-US"/>
    </w:rPr>
  </w:style>
  <w:style w:type="paragraph" w:customStyle="1" w:styleId="Default">
    <w:name w:val="Default"/>
    <w:uiPriority w:val="99"/>
    <w:rsid w:val="004B2A49"/>
    <w:pPr>
      <w:widowControl w:val="0"/>
      <w:autoSpaceDE w:val="0"/>
      <w:autoSpaceDN w:val="0"/>
      <w:adjustRightInd w:val="0"/>
    </w:pPr>
    <w:rPr>
      <w:rFonts w:ascii="Arial" w:eastAsia="Times New Roman" w:hAnsi="Arial" w:cs="Arial"/>
      <w:color w:val="000000"/>
      <w:sz w:val="24"/>
      <w:szCs w:val="24"/>
      <w:lang w:eastAsia="fr-FR"/>
    </w:rPr>
  </w:style>
  <w:style w:type="paragraph" w:styleId="Rvision">
    <w:name w:val="Revision"/>
    <w:hidden/>
    <w:uiPriority w:val="99"/>
    <w:semiHidden/>
    <w:rsid w:val="009E3CDF"/>
    <w:rPr>
      <w:rFonts w:ascii="Calibri" w:eastAsia="Calibri" w:hAnsi="Calibri" w:cs="Times New Roman"/>
      <w:sz w:val="22"/>
      <w:szCs w:val="22"/>
      <w:lang w:eastAsia="en-US"/>
    </w:rPr>
  </w:style>
  <w:style w:type="paragraph" w:styleId="En-ttedetabledesmatires">
    <w:name w:val="TOC Heading"/>
    <w:basedOn w:val="Titre1"/>
    <w:next w:val="Normal"/>
    <w:uiPriority w:val="39"/>
    <w:unhideWhenUsed/>
    <w:qFormat/>
    <w:rsid w:val="004B2A49"/>
    <w:pPr>
      <w:spacing w:before="480" w:line="276" w:lineRule="auto"/>
      <w:jc w:val="left"/>
      <w:outlineLvl w:val="9"/>
    </w:pPr>
    <w:rPr>
      <w:rFonts w:ascii="Cambria" w:hAnsi="Cambria"/>
      <w:i/>
      <w:iCs/>
      <w:color w:val="365F91"/>
      <w:sz w:val="28"/>
    </w:rPr>
  </w:style>
  <w:style w:type="paragraph" w:styleId="TM1">
    <w:name w:val="toc 1"/>
    <w:basedOn w:val="Titre2"/>
    <w:next w:val="Normal"/>
    <w:autoRedefine/>
    <w:uiPriority w:val="39"/>
    <w:unhideWhenUsed/>
    <w:rsid w:val="004B2A4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B2A49"/>
    <w:pPr>
      <w:tabs>
        <w:tab w:val="left" w:pos="660"/>
        <w:tab w:val="right" w:pos="9344"/>
      </w:tabs>
      <w:spacing w:line="360" w:lineRule="auto"/>
    </w:pPr>
    <w:rPr>
      <w:noProof/>
      <w:color w:val="31849B"/>
      <w:sz w:val="28"/>
      <w:szCs w:val="28"/>
    </w:rPr>
  </w:style>
  <w:style w:type="paragraph" w:styleId="TM3">
    <w:name w:val="toc 3"/>
    <w:basedOn w:val="Normal"/>
    <w:next w:val="Normal"/>
    <w:autoRedefine/>
    <w:uiPriority w:val="39"/>
    <w:unhideWhenUsed/>
    <w:rsid w:val="004B2A49"/>
    <w:pPr>
      <w:spacing w:after="100"/>
      <w:ind w:left="440"/>
    </w:pPr>
  </w:style>
  <w:style w:type="character" w:styleId="Lienhypertexte">
    <w:name w:val="Hyperlink"/>
    <w:uiPriority w:val="99"/>
    <w:unhideWhenUsed/>
    <w:rsid w:val="004B2A49"/>
    <w:rPr>
      <w:color w:val="0000FF"/>
      <w:u w:val="single"/>
    </w:rPr>
  </w:style>
  <w:style w:type="paragraph" w:styleId="Sansinterligne">
    <w:name w:val="No Spacing"/>
    <w:uiPriority w:val="1"/>
    <w:unhideWhenUsed/>
    <w:rsid w:val="004B2A49"/>
    <w:rPr>
      <w:rFonts w:ascii="Calibri" w:eastAsia="Times New Roman" w:hAnsi="Calibri" w:cs="Times New Roman"/>
      <w:sz w:val="22"/>
      <w:szCs w:val="22"/>
      <w:lang w:eastAsia="en-US"/>
    </w:rPr>
  </w:style>
  <w:style w:type="paragraph" w:customStyle="1" w:styleId="Annexe">
    <w:name w:val="Annexe"/>
    <w:basedOn w:val="Normal"/>
    <w:next w:val="Normal"/>
    <w:qFormat/>
    <w:rsid w:val="004B2A49"/>
    <w:rPr>
      <w:b/>
      <w:color w:val="17818E"/>
    </w:rPr>
  </w:style>
  <w:style w:type="character" w:styleId="Appelnotedebasdep">
    <w:name w:val="footnote reference"/>
    <w:uiPriority w:val="99"/>
    <w:semiHidden/>
    <w:rsid w:val="004B2A49"/>
    <w:rPr>
      <w:rFonts w:cs="Times New Roman"/>
      <w:i/>
      <w:iCs/>
      <w:position w:val="6"/>
      <w:sz w:val="18"/>
      <w:szCs w:val="18"/>
      <w:vertAlign w:val="baseline"/>
    </w:rPr>
  </w:style>
  <w:style w:type="paragraph" w:styleId="Citationintense">
    <w:name w:val="Intense Quote"/>
    <w:aliases w:val="Entête"/>
    <w:basedOn w:val="Normal"/>
    <w:next w:val="Normal"/>
    <w:link w:val="CitationintenseCar"/>
    <w:uiPriority w:val="30"/>
    <w:unhideWhenUsed/>
    <w:rsid w:val="004B2A4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B2A49"/>
    <w:rPr>
      <w:rFonts w:ascii="Arial" w:eastAsia="Calibri" w:hAnsi="Arial" w:cs="Times New Roman"/>
      <w:bCs/>
      <w:iCs/>
      <w:sz w:val="22"/>
      <w:szCs w:val="22"/>
      <w:lang w:eastAsia="en-US"/>
    </w:rPr>
  </w:style>
  <w:style w:type="character" w:customStyle="1" w:styleId="CommentaireCar1">
    <w:name w:val="Commentaire Car1"/>
    <w:basedOn w:val="Policepardfaut"/>
    <w:uiPriority w:val="99"/>
    <w:semiHidden/>
    <w:rsid w:val="004B2A49"/>
    <w:rPr>
      <w:sz w:val="24"/>
      <w:szCs w:val="24"/>
      <w:lang w:eastAsia="en-US"/>
    </w:rPr>
  </w:style>
  <w:style w:type="character" w:customStyle="1" w:styleId="CorpsdetexteCar1">
    <w:name w:val="Corps de texte Car1"/>
    <w:basedOn w:val="Policepardfaut"/>
    <w:uiPriority w:val="99"/>
    <w:semiHidden/>
    <w:rsid w:val="004B2A49"/>
    <w:rPr>
      <w:sz w:val="22"/>
      <w:szCs w:val="22"/>
      <w:lang w:eastAsia="en-US"/>
    </w:rPr>
  </w:style>
  <w:style w:type="character" w:styleId="lev">
    <w:name w:val="Strong"/>
    <w:uiPriority w:val="22"/>
    <w:unhideWhenUsed/>
    <w:rsid w:val="004B2A49"/>
    <w:rPr>
      <w:b/>
      <w:bCs/>
    </w:rPr>
  </w:style>
  <w:style w:type="table" w:customStyle="1" w:styleId="Entte2">
    <w:name w:val="En tête 2"/>
    <w:basedOn w:val="TableauNormal"/>
    <w:uiPriority w:val="99"/>
    <w:rsid w:val="004B2A49"/>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B2A4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4B2A49"/>
    <w:pPr>
      <w:keepNext/>
      <w:tabs>
        <w:tab w:val="left" w:pos="849"/>
      </w:tabs>
      <w:spacing w:after="60"/>
      <w:ind w:left="57"/>
      <w:jc w:val="left"/>
    </w:pPr>
    <w:rPr>
      <w:rFonts w:cs="Arial"/>
      <w:color w:val="17818E"/>
      <w:szCs w:val="18"/>
    </w:rPr>
  </w:style>
  <w:style w:type="paragraph" w:customStyle="1" w:styleId="Grilleclaire-Accent31">
    <w:name w:val="Grille claire - Accent 31"/>
    <w:basedOn w:val="Normal"/>
    <w:uiPriority w:val="34"/>
    <w:unhideWhenUsed/>
    <w:qFormat/>
    <w:rsid w:val="004B2A49"/>
    <w:pPr>
      <w:ind w:left="720"/>
      <w:contextualSpacing/>
    </w:pPr>
    <w:rPr>
      <w:rFonts w:eastAsia="Times" w:cs="Times"/>
      <w:szCs w:val="18"/>
      <w:lang w:eastAsia="fr-FR"/>
    </w:rPr>
  </w:style>
  <w:style w:type="table" w:styleId="Grilledutableau">
    <w:name w:val="Table Grid"/>
    <w:basedOn w:val="TableauNormal"/>
    <w:rsid w:val="004B2A49"/>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B2A49"/>
    <w:pPr>
      <w:spacing w:line="280" w:lineRule="atLeast"/>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B2A49"/>
    <w:pPr>
      <w:spacing w:line="280" w:lineRule="atLeast"/>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4B2A49"/>
    <w:pPr>
      <w:ind w:left="720"/>
      <w:contextualSpacing/>
    </w:pPr>
    <w:rPr>
      <w:rFonts w:cs="Times"/>
      <w:szCs w:val="18"/>
      <w:lang w:eastAsia="fr-FR"/>
    </w:rPr>
  </w:style>
  <w:style w:type="paragraph" w:customStyle="1" w:styleId="Grillemoyenne2-Accent11">
    <w:name w:val="Grille moyenne 2 - Accent 11"/>
    <w:uiPriority w:val="1"/>
    <w:qFormat/>
    <w:rsid w:val="004B2A49"/>
    <w:rPr>
      <w:rFonts w:ascii="Calibri" w:eastAsia="Calibri" w:hAnsi="Calibri" w:cs="Times New Roman"/>
      <w:sz w:val="22"/>
      <w:szCs w:val="22"/>
      <w:lang w:eastAsia="en-US"/>
    </w:rPr>
  </w:style>
  <w:style w:type="character" w:styleId="Lienhypertextesuivivisit">
    <w:name w:val="FollowedHyperlink"/>
    <w:basedOn w:val="Policepardfaut"/>
    <w:uiPriority w:val="99"/>
    <w:semiHidden/>
    <w:unhideWhenUsed/>
    <w:rsid w:val="004B2A49"/>
    <w:rPr>
      <w:color w:val="800080" w:themeColor="followedHyperlink"/>
      <w:u w:val="single"/>
    </w:rPr>
  </w:style>
  <w:style w:type="paragraph" w:styleId="Liste0">
    <w:name w:val="List"/>
    <w:basedOn w:val="Normal"/>
    <w:uiPriority w:val="99"/>
    <w:semiHidden/>
    <w:unhideWhenUsed/>
    <w:rsid w:val="004B2A49"/>
    <w:pPr>
      <w:ind w:left="283" w:hanging="283"/>
      <w:contextualSpacing/>
    </w:pPr>
  </w:style>
  <w:style w:type="paragraph" w:customStyle="1" w:styleId="liste">
    <w:name w:val="liste"/>
    <w:basedOn w:val="Liste0"/>
    <w:next w:val="Normal"/>
    <w:qFormat/>
    <w:rsid w:val="004B2A49"/>
    <w:pPr>
      <w:numPr>
        <w:numId w:val="34"/>
      </w:numPr>
      <w:spacing w:before="0" w:after="120"/>
    </w:pPr>
    <w:rPr>
      <w:rFonts w:eastAsia="Times" w:cs="Calibri"/>
      <w:szCs w:val="24"/>
      <w:lang w:eastAsia="fr-FR"/>
    </w:rPr>
  </w:style>
  <w:style w:type="paragraph" w:styleId="Listepuces">
    <w:name w:val="List Bullet"/>
    <w:basedOn w:val="Normal"/>
    <w:uiPriority w:val="99"/>
    <w:semiHidden/>
    <w:unhideWhenUsed/>
    <w:rsid w:val="004B2A49"/>
    <w:pPr>
      <w:contextualSpacing/>
    </w:pPr>
  </w:style>
  <w:style w:type="paragraph" w:customStyle="1" w:styleId="Listecouleur-Accent11">
    <w:name w:val="Liste couleur - Accent 11"/>
    <w:basedOn w:val="Normal"/>
    <w:uiPriority w:val="34"/>
    <w:unhideWhenUsed/>
    <w:rsid w:val="004B2A4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B2A4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4B2A49"/>
    <w:rPr>
      <w:rFonts w:ascii="Calibri Light" w:eastAsia="MS Mincho" w:hAnsi="Calibri Light"/>
      <w:b/>
    </w:rPr>
  </w:style>
  <w:style w:type="character" w:customStyle="1" w:styleId="ParagraphedelisteCar">
    <w:name w:val="Paragraphe de liste Car"/>
    <w:link w:val="Paragraphedeliste"/>
    <w:uiPriority w:val="34"/>
    <w:locked/>
    <w:rsid w:val="004B2A49"/>
    <w:rPr>
      <w:rFonts w:ascii="Arial" w:eastAsia="Calibri" w:hAnsi="Arial" w:cs="Times New Roman"/>
      <w:sz w:val="22"/>
      <w:szCs w:val="22"/>
      <w:lang w:eastAsia="en-US"/>
    </w:rPr>
  </w:style>
  <w:style w:type="paragraph" w:customStyle="1" w:styleId="Listetableau0">
    <w:name w:val="Liste tableau"/>
    <w:basedOn w:val="Paragraphedeliste"/>
    <w:qFormat/>
    <w:rsid w:val="000D48C2"/>
    <w:pPr>
      <w:numPr>
        <w:numId w:val="30"/>
      </w:numPr>
      <w:spacing w:before="40" w:after="40"/>
      <w:ind w:left="227" w:hanging="170"/>
      <w:jc w:val="left"/>
    </w:pPr>
  </w:style>
  <w:style w:type="paragraph" w:customStyle="1" w:styleId="listetableau">
    <w:name w:val="liste tableau"/>
    <w:basedOn w:val="Normal"/>
    <w:qFormat/>
    <w:rsid w:val="004B2A49"/>
    <w:pPr>
      <w:widowControl w:val="0"/>
      <w:numPr>
        <w:numId w:val="22"/>
      </w:numPr>
      <w:autoSpaceDE w:val="0"/>
      <w:spacing w:before="0" w:after="60"/>
      <w:contextualSpacing/>
      <w:jc w:val="left"/>
    </w:pPr>
    <w:rPr>
      <w:rFonts w:cs="Arial"/>
      <w:color w:val="000000"/>
      <w:lang w:eastAsia="fr-FR"/>
    </w:rPr>
  </w:style>
  <w:style w:type="numbering" w:customStyle="1" w:styleId="Listetirets">
    <w:name w:val="Liste tirets"/>
    <w:basedOn w:val="Aucuneliste"/>
    <w:uiPriority w:val="99"/>
    <w:rsid w:val="004B2A49"/>
    <w:pPr>
      <w:numPr>
        <w:numId w:val="23"/>
      </w:numPr>
    </w:pPr>
  </w:style>
  <w:style w:type="paragraph" w:styleId="NormalWeb">
    <w:name w:val="Normal (Web)"/>
    <w:basedOn w:val="Normal"/>
    <w:uiPriority w:val="99"/>
    <w:rsid w:val="004B2A49"/>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4B2A4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B2A49"/>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4B2A49"/>
    <w:pPr>
      <w:ind w:right="203"/>
    </w:pPr>
    <w:rPr>
      <w:rFonts w:cs="Arial"/>
      <w:color w:val="808080"/>
      <w:szCs w:val="20"/>
    </w:rPr>
  </w:style>
  <w:style w:type="character" w:customStyle="1" w:styleId="NotesCar">
    <w:name w:val="Notes Car"/>
    <w:link w:val="Notes"/>
    <w:uiPriority w:val="1"/>
    <w:locked/>
    <w:rsid w:val="004B2A49"/>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B2A49"/>
    <w:pPr>
      <w:numPr>
        <w:numId w:val="32"/>
      </w:numPr>
    </w:pPr>
  </w:style>
  <w:style w:type="paragraph" w:customStyle="1" w:styleId="pucesdetableau">
    <w:name w:val="puces de tableau"/>
    <w:basedOn w:val="Normal"/>
    <w:qFormat/>
    <w:rsid w:val="004B2A49"/>
    <w:pPr>
      <w:numPr>
        <w:numId w:val="33"/>
      </w:numPr>
      <w:spacing w:after="60"/>
      <w:jc w:val="left"/>
    </w:pPr>
    <w:rPr>
      <w:rFonts w:eastAsiaTheme="minorHAnsi" w:cs="Arial"/>
      <w:szCs w:val="20"/>
    </w:rPr>
  </w:style>
  <w:style w:type="character" w:styleId="Rfrenceple">
    <w:name w:val="Subtle Reference"/>
    <w:uiPriority w:val="31"/>
    <w:unhideWhenUsed/>
    <w:rsid w:val="004B2A49"/>
    <w:rPr>
      <w:smallCaps/>
      <w:color w:val="C0504D"/>
      <w:u w:val="single"/>
    </w:rPr>
  </w:style>
  <w:style w:type="paragraph" w:styleId="Retraitcorpsdetexte2">
    <w:name w:val="Body Text Indent 2"/>
    <w:basedOn w:val="Normal"/>
    <w:link w:val="Retraitcorpsdetexte2Car"/>
    <w:semiHidden/>
    <w:rsid w:val="004B2A4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B2A49"/>
    <w:rPr>
      <w:rFonts w:ascii="Calibri" w:eastAsia="Times New Roman" w:hAnsi="Calibri" w:cs="Times New Roman"/>
      <w:sz w:val="22"/>
      <w:szCs w:val="22"/>
      <w:lang w:eastAsia="en-US"/>
    </w:rPr>
  </w:style>
  <w:style w:type="paragraph" w:customStyle="1" w:styleId="sommaire">
    <w:name w:val="sommaire"/>
    <w:basedOn w:val="Normal"/>
    <w:qFormat/>
    <w:rsid w:val="004B2A4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B2A49"/>
    <w:pPr>
      <w:numPr>
        <w:ilvl w:val="1"/>
      </w:numPr>
    </w:pPr>
  </w:style>
  <w:style w:type="paragraph" w:customStyle="1" w:styleId="stitre1">
    <w:name w:val="stitre1"/>
    <w:basedOn w:val="Normal"/>
    <w:semiHidden/>
    <w:rsid w:val="004B2A4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4B2A49"/>
    <w:rPr>
      <w:rFonts w:ascii="Arial" w:eastAsia="Times New Roman" w:hAnsi="Arial" w:cs="Times New Roman"/>
      <w:b/>
      <w:bCs/>
      <w:iCs/>
      <w:color w:val="17818E"/>
      <w:sz w:val="22"/>
      <w:szCs w:val="22"/>
      <w:lang w:eastAsia="en-US"/>
    </w:rPr>
  </w:style>
  <w:style w:type="paragraph" w:customStyle="1" w:styleId="Titre4tableau">
    <w:name w:val="Titre 4 tableau"/>
    <w:basedOn w:val="Titre4"/>
    <w:qFormat/>
    <w:rsid w:val="004B2A49"/>
    <w:pPr>
      <w:numPr>
        <w:numId w:val="0"/>
      </w:numPr>
      <w:spacing w:before="60"/>
    </w:pPr>
  </w:style>
  <w:style w:type="character" w:customStyle="1" w:styleId="Titre5Car">
    <w:name w:val="Titre 5 Car"/>
    <w:link w:val="Titre5"/>
    <w:rsid w:val="004B2A49"/>
    <w:rPr>
      <w:rFonts w:ascii="Arial" w:eastAsia="Times New Roman" w:hAnsi="Arial" w:cs="Times New Roman"/>
      <w:b/>
      <w:sz w:val="22"/>
      <w:szCs w:val="22"/>
      <w:lang w:eastAsia="en-US"/>
    </w:rPr>
  </w:style>
  <w:style w:type="paragraph" w:customStyle="1" w:styleId="Titre5tableau">
    <w:name w:val="Titre 5 tableau"/>
    <w:basedOn w:val="Titre5"/>
    <w:qFormat/>
    <w:rsid w:val="000D48C2"/>
    <w:pPr>
      <w:spacing w:before="60" w:after="60"/>
      <w:ind w:left="0"/>
      <w:jc w:val="left"/>
    </w:pPr>
    <w:rPr>
      <w:rFonts w:eastAsia="MS Mincho"/>
      <w:lang w:eastAsia="fr-FR"/>
    </w:rPr>
  </w:style>
  <w:style w:type="character" w:customStyle="1" w:styleId="Titre6Car">
    <w:name w:val="Titre 6 Car"/>
    <w:link w:val="Titre6"/>
    <w:rsid w:val="004B2A49"/>
    <w:rPr>
      <w:rFonts w:ascii="Arial" w:eastAsia="Calibri" w:hAnsi="Arial" w:cs="Times New Roman"/>
      <w:i/>
      <w:iCs/>
      <w:sz w:val="22"/>
      <w:szCs w:val="22"/>
      <w:lang w:eastAsia="en-US"/>
    </w:rPr>
  </w:style>
  <w:style w:type="character" w:customStyle="1" w:styleId="Titre7Car">
    <w:name w:val="Titre 7 Car"/>
    <w:link w:val="Titre7"/>
    <w:rsid w:val="004B2A49"/>
    <w:rPr>
      <w:rFonts w:ascii="Cambria" w:eastAsia="Times New Roman" w:hAnsi="Cambria" w:cs="Times New Roman"/>
      <w:i/>
      <w:iCs/>
      <w:color w:val="404040"/>
      <w:sz w:val="22"/>
      <w:szCs w:val="22"/>
      <w:lang w:eastAsia="en-US"/>
    </w:rPr>
  </w:style>
  <w:style w:type="character" w:customStyle="1" w:styleId="Titre8Car">
    <w:name w:val="Titre 8 Car"/>
    <w:link w:val="Titre8"/>
    <w:rsid w:val="004B2A49"/>
    <w:rPr>
      <w:rFonts w:ascii="Cambria" w:eastAsia="Calibri" w:hAnsi="Cambria" w:cs="Times New Roman"/>
      <w:color w:val="404040"/>
      <w:sz w:val="22"/>
      <w:lang w:eastAsia="en-US"/>
    </w:rPr>
  </w:style>
  <w:style w:type="paragraph" w:customStyle="1" w:styleId="EPPDSTitre1">
    <w:name w:val="EPP DS Titre 1"/>
    <w:basedOn w:val="Normal"/>
    <w:uiPriority w:val="99"/>
    <w:rsid w:val="004B2A49"/>
    <w:pPr>
      <w:ind w:right="28"/>
      <w:jc w:val="center"/>
    </w:pPr>
    <w:rPr>
      <w:rFonts w:ascii="Calibri" w:eastAsia="Times New Roman" w:hAnsi="Calibri" w:cs="Calibri"/>
      <w:b/>
      <w:bCs/>
      <w:color w:val="1F497D"/>
      <w:sz w:val="40"/>
      <w:szCs w:val="40"/>
    </w:rPr>
  </w:style>
  <w:style w:type="paragraph" w:styleId="Index1">
    <w:name w:val="index 1"/>
    <w:basedOn w:val="Normal"/>
    <w:next w:val="Normal"/>
    <w:autoRedefine/>
    <w:uiPriority w:val="99"/>
    <w:unhideWhenUsed/>
    <w:rsid w:val="004B2A49"/>
    <w:pPr>
      <w:ind w:left="220" w:hanging="220"/>
    </w:pPr>
  </w:style>
  <w:style w:type="paragraph" w:styleId="Index2">
    <w:name w:val="index 2"/>
    <w:basedOn w:val="Normal"/>
    <w:next w:val="Normal"/>
    <w:autoRedefine/>
    <w:uiPriority w:val="99"/>
    <w:unhideWhenUsed/>
    <w:rsid w:val="004B2A49"/>
    <w:pPr>
      <w:ind w:left="440" w:hanging="220"/>
    </w:pPr>
  </w:style>
  <w:style w:type="paragraph" w:styleId="Index3">
    <w:name w:val="index 3"/>
    <w:basedOn w:val="Normal"/>
    <w:next w:val="Normal"/>
    <w:autoRedefine/>
    <w:uiPriority w:val="99"/>
    <w:unhideWhenUsed/>
    <w:rsid w:val="004B2A49"/>
    <w:pPr>
      <w:ind w:left="660" w:hanging="220"/>
    </w:pPr>
  </w:style>
  <w:style w:type="paragraph" w:styleId="Index4">
    <w:name w:val="index 4"/>
    <w:basedOn w:val="Normal"/>
    <w:next w:val="Normal"/>
    <w:autoRedefine/>
    <w:uiPriority w:val="99"/>
    <w:unhideWhenUsed/>
    <w:rsid w:val="004B2A49"/>
    <w:pPr>
      <w:ind w:left="880" w:hanging="220"/>
    </w:pPr>
  </w:style>
  <w:style w:type="paragraph" w:styleId="Index5">
    <w:name w:val="index 5"/>
    <w:basedOn w:val="Normal"/>
    <w:next w:val="Normal"/>
    <w:autoRedefine/>
    <w:uiPriority w:val="99"/>
    <w:unhideWhenUsed/>
    <w:rsid w:val="004B2A49"/>
    <w:pPr>
      <w:ind w:left="1100" w:hanging="220"/>
    </w:pPr>
  </w:style>
  <w:style w:type="paragraph" w:styleId="Index6">
    <w:name w:val="index 6"/>
    <w:basedOn w:val="Normal"/>
    <w:next w:val="Normal"/>
    <w:autoRedefine/>
    <w:uiPriority w:val="99"/>
    <w:unhideWhenUsed/>
    <w:rsid w:val="004B2A49"/>
    <w:pPr>
      <w:ind w:left="1320" w:hanging="220"/>
    </w:pPr>
  </w:style>
  <w:style w:type="paragraph" w:styleId="Index7">
    <w:name w:val="index 7"/>
    <w:basedOn w:val="Normal"/>
    <w:next w:val="Normal"/>
    <w:autoRedefine/>
    <w:uiPriority w:val="99"/>
    <w:unhideWhenUsed/>
    <w:rsid w:val="004B2A49"/>
    <w:pPr>
      <w:ind w:left="1540" w:hanging="220"/>
    </w:pPr>
  </w:style>
  <w:style w:type="paragraph" w:styleId="Index8">
    <w:name w:val="index 8"/>
    <w:basedOn w:val="Normal"/>
    <w:next w:val="Normal"/>
    <w:autoRedefine/>
    <w:uiPriority w:val="99"/>
    <w:unhideWhenUsed/>
    <w:rsid w:val="004B2A49"/>
    <w:pPr>
      <w:ind w:left="1760" w:hanging="220"/>
    </w:pPr>
  </w:style>
  <w:style w:type="paragraph" w:styleId="Index9">
    <w:name w:val="index 9"/>
    <w:basedOn w:val="Normal"/>
    <w:next w:val="Normal"/>
    <w:autoRedefine/>
    <w:uiPriority w:val="99"/>
    <w:unhideWhenUsed/>
    <w:rsid w:val="004B2A49"/>
    <w:pPr>
      <w:ind w:left="1980" w:hanging="220"/>
    </w:pPr>
  </w:style>
  <w:style w:type="paragraph" w:customStyle="1" w:styleId="Titre5numrot">
    <w:name w:val="Titre 5 numéroté"/>
    <w:basedOn w:val="Titre5"/>
    <w:qFormat/>
    <w:rsid w:val="004B2A49"/>
    <w:pPr>
      <w:numPr>
        <w:numId w:val="36"/>
      </w:numPr>
    </w:pPr>
  </w:style>
  <w:style w:type="paragraph" w:styleId="Titreindex">
    <w:name w:val="index heading"/>
    <w:basedOn w:val="Normal"/>
    <w:next w:val="Index1"/>
    <w:uiPriority w:val="99"/>
    <w:unhideWhenUsed/>
    <w:rsid w:val="004B2A49"/>
  </w:style>
  <w:style w:type="paragraph" w:styleId="Titre">
    <w:name w:val="Title"/>
    <w:aliases w:val="Titre annexe"/>
    <w:basedOn w:val="Normal"/>
    <w:next w:val="Normal"/>
    <w:link w:val="TitreCar"/>
    <w:uiPriority w:val="10"/>
    <w:qFormat/>
    <w:rsid w:val="004B2A49"/>
    <w:rPr>
      <w:b/>
      <w:color w:val="17818E"/>
    </w:rPr>
  </w:style>
  <w:style w:type="character" w:customStyle="1" w:styleId="TitreCar">
    <w:name w:val="Titre Car"/>
    <w:aliases w:val="Titre annexe Car"/>
    <w:basedOn w:val="Policepardfaut"/>
    <w:link w:val="Titre"/>
    <w:uiPriority w:val="10"/>
    <w:rsid w:val="004B2A49"/>
    <w:rPr>
      <w:rFonts w:ascii="Arial" w:eastAsia="Calibri" w:hAnsi="Arial" w:cs="Times New Roman"/>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2771-336A-4023-B656-605DEF42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8420</Words>
  <Characters>46313</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ROMULUS</dc:creator>
  <cp:lastModifiedBy>DGESCO</cp:lastModifiedBy>
  <cp:revision>6</cp:revision>
  <cp:lastPrinted>2019-07-23T10:25:00Z</cp:lastPrinted>
  <dcterms:created xsi:type="dcterms:W3CDTF">2019-07-23T10:20:00Z</dcterms:created>
  <dcterms:modified xsi:type="dcterms:W3CDTF">2019-07-23T15:31:00Z</dcterms:modified>
</cp:coreProperties>
</file>