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
    <w:p/>
    <w:p/>
    <w:p/>
    <w:p/>
    <w:p/>
    <w:p/>
    <w:p>
      <w:pPr>
        <w:pBdr>
          <w:top w:val="single" w:sz="4" w:space="1" w:color="002060"/>
          <w:left w:val="single" w:sz="4" w:space="4" w:color="002060"/>
          <w:bottom w:val="single" w:sz="4" w:space="16" w:color="002060"/>
          <w:right w:val="single" w:sz="4" w:space="4" w:color="002060"/>
        </w:pBdr>
        <w:jc w:val="center"/>
        <w:rPr>
          <w:rFonts w:ascii="Arial" w:hAnsi="Arial" w:cs="Arial"/>
          <w:b/>
          <w:color w:val="002060"/>
          <w:sz w:val="28"/>
        </w:rPr>
      </w:pPr>
    </w:p>
    <w:p>
      <w:pPr>
        <w:pBdr>
          <w:top w:val="single" w:sz="4" w:space="1" w:color="002060"/>
          <w:left w:val="single" w:sz="4" w:space="4" w:color="002060"/>
          <w:bottom w:val="single" w:sz="4" w:space="16" w:color="002060"/>
          <w:right w:val="single" w:sz="4" w:space="4" w:color="002060"/>
        </w:pBdr>
        <w:jc w:val="center"/>
        <w:rPr>
          <w:rFonts w:ascii="Arial" w:hAnsi="Arial" w:cs="Arial"/>
          <w:b/>
          <w:sz w:val="28"/>
          <w:szCs w:val="28"/>
        </w:rPr>
      </w:pPr>
      <w:r>
        <w:rPr>
          <w:rFonts w:ascii="Arial" w:hAnsi="Arial" w:cs="Arial"/>
          <w:b/>
          <w:color w:val="002060"/>
          <w:sz w:val="28"/>
          <w:szCs w:val="28"/>
        </w:rPr>
        <w:t>Noyau RH FPE version 23.10.00</w:t>
      </w:r>
    </w:p>
    <w:p>
      <w:pPr>
        <w:pBdr>
          <w:top w:val="single" w:sz="4" w:space="1" w:color="002060"/>
          <w:left w:val="single" w:sz="4" w:space="4" w:color="002060"/>
          <w:bottom w:val="single" w:sz="4" w:space="16" w:color="002060"/>
          <w:right w:val="single" w:sz="4" w:space="4" w:color="002060"/>
        </w:pBdr>
        <w:jc w:val="center"/>
        <w:rPr>
          <w:rFonts w:ascii="Arial" w:hAnsi="Arial" w:cs="Arial"/>
          <w:color w:val="002060"/>
          <w:sz w:val="24"/>
          <w:szCs w:val="24"/>
        </w:rPr>
      </w:pPr>
      <w:r>
        <w:rPr>
          <w:rFonts w:ascii="Arial" w:hAnsi="Arial" w:cs="Arial"/>
          <w:color w:val="002060"/>
          <w:sz w:val="24"/>
          <w:szCs w:val="24"/>
        </w:rPr>
        <w:t>DIFFUSION du 9 FEVRIER 2024</w:t>
      </w:r>
    </w:p>
    <w:p/>
    <w:p/>
    <w:p/>
    <w:p/>
    <w:p>
      <w:r>
        <w:rPr>
          <w:rFonts w:ascii="Arial" w:hAnsi="Arial" w:cs="Arial"/>
          <w:noProof/>
          <w:color w:val="FF0000"/>
          <w:sz w:val="56"/>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245501</wp:posOffset>
            </wp:positionV>
            <wp:extent cx="698500" cy="465455"/>
            <wp:effectExtent l="0" t="0" r="6350" b="0"/>
            <wp:wrapSquare wrapText="bothSides"/>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p/>
    <w:p>
      <w:pPr>
        <w:jc w:val="center"/>
        <w:rPr>
          <w:rFonts w:ascii="Arial" w:hAnsi="Arial" w:cs="Arial"/>
          <w:b/>
          <w:sz w:val="24"/>
        </w:rPr>
      </w:pPr>
      <w:r>
        <w:rPr>
          <w:rFonts w:ascii="Arial" w:hAnsi="Arial" w:cs="Arial"/>
          <w:b/>
          <w:sz w:val="24"/>
        </w:rPr>
        <w:t>SOMMAIRE</w:t>
      </w:r>
    </w:p>
    <w:p/>
    <w:p/>
    <w:p>
      <w:pPr>
        <w:pStyle w:val="TM1"/>
        <w:tabs>
          <w:tab w:val="left" w:pos="440"/>
          <w:tab w:val="right" w:leader="dot" w:pos="9062"/>
        </w:tabs>
        <w:rPr>
          <w:rFonts w:eastAsiaTheme="minorEastAsia"/>
          <w:noProof/>
          <w:lang w:eastAsia="fr-FR"/>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57084286" w:history="1">
        <w:r>
          <w:rPr>
            <w:rStyle w:val="Lienhypertexte"/>
            <w:noProof/>
          </w:rPr>
          <w:t>1.</w:t>
        </w:r>
        <w:r>
          <w:rPr>
            <w:rFonts w:eastAsiaTheme="minorEastAsia"/>
            <w:noProof/>
            <w:lang w:eastAsia="fr-FR"/>
          </w:rPr>
          <w:tab/>
        </w:r>
        <w:r>
          <w:rPr>
            <w:rStyle w:val="Lienhypertexte"/>
            <w:noProof/>
          </w:rPr>
          <w:t>Liste des référentiels concernés par la diffusion</w:t>
        </w:r>
        <w:r>
          <w:rPr>
            <w:noProof/>
            <w:webHidden/>
          </w:rPr>
          <w:tab/>
        </w:r>
        <w:r>
          <w:rPr>
            <w:noProof/>
            <w:webHidden/>
          </w:rPr>
          <w:fldChar w:fldCharType="begin"/>
        </w:r>
        <w:r>
          <w:rPr>
            <w:noProof/>
            <w:webHidden/>
          </w:rPr>
          <w:instrText xml:space="preserve"> PAGEREF _Toc157084286 \h </w:instrText>
        </w:r>
        <w:r>
          <w:rPr>
            <w:noProof/>
            <w:webHidden/>
          </w:rPr>
        </w:r>
        <w:r>
          <w:rPr>
            <w:noProof/>
            <w:webHidden/>
          </w:rPr>
          <w:fldChar w:fldCharType="separate"/>
        </w:r>
        <w:r>
          <w:rPr>
            <w:noProof/>
            <w:webHidden/>
          </w:rPr>
          <w:t>4</w:t>
        </w:r>
        <w:r>
          <w:rPr>
            <w:noProof/>
            <w:webHidden/>
          </w:rPr>
          <w:fldChar w:fldCharType="end"/>
        </w:r>
      </w:hyperlink>
    </w:p>
    <w:p>
      <w:pPr>
        <w:pStyle w:val="TM1"/>
        <w:tabs>
          <w:tab w:val="left" w:pos="440"/>
          <w:tab w:val="right" w:leader="dot" w:pos="9062"/>
        </w:tabs>
        <w:rPr>
          <w:rFonts w:eastAsiaTheme="minorEastAsia"/>
          <w:noProof/>
          <w:lang w:eastAsia="fr-FR"/>
        </w:rPr>
      </w:pPr>
      <w:hyperlink w:anchor="_Toc157084287" w:history="1">
        <w:r>
          <w:rPr>
            <w:rStyle w:val="Lienhypertexte"/>
            <w:noProof/>
          </w:rPr>
          <w:t>2.</w:t>
        </w:r>
        <w:r>
          <w:rPr>
            <w:rFonts w:eastAsiaTheme="minorEastAsia"/>
            <w:noProof/>
            <w:lang w:eastAsia="fr-FR"/>
          </w:rPr>
          <w:tab/>
        </w:r>
        <w:r>
          <w:rPr>
            <w:rStyle w:val="Lienhypertexte"/>
            <w:noProof/>
          </w:rPr>
          <w:t>Présentation générale des mises à jour</w:t>
        </w:r>
        <w:r>
          <w:rPr>
            <w:noProof/>
            <w:webHidden/>
          </w:rPr>
          <w:tab/>
        </w:r>
        <w:r>
          <w:rPr>
            <w:noProof/>
            <w:webHidden/>
          </w:rPr>
          <w:fldChar w:fldCharType="begin"/>
        </w:r>
        <w:r>
          <w:rPr>
            <w:noProof/>
            <w:webHidden/>
          </w:rPr>
          <w:instrText xml:space="preserve"> PAGEREF _Toc157084287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9062"/>
        </w:tabs>
        <w:rPr>
          <w:rFonts w:eastAsiaTheme="minorEastAsia"/>
          <w:noProof/>
          <w:lang w:eastAsia="fr-FR"/>
        </w:rPr>
      </w:pPr>
      <w:hyperlink w:anchor="_Toc157084288" w:history="1">
        <w:r>
          <w:rPr>
            <w:rStyle w:val="Lienhypertexte"/>
            <w:noProof/>
          </w:rPr>
          <w:t>2.1</w:t>
        </w:r>
        <w:r>
          <w:rPr>
            <w:rFonts w:eastAsiaTheme="minorEastAsia"/>
            <w:noProof/>
            <w:lang w:eastAsia="fr-FR"/>
          </w:rPr>
          <w:tab/>
        </w:r>
        <w:r>
          <w:rPr>
            <w:rStyle w:val="Lienhypertexte"/>
            <w:noProof/>
          </w:rPr>
          <w:t>Noyau RH FPE et contexte de la diffusion de la version intermédiaire  23.10.00 du Noyau</w:t>
        </w:r>
        <w:r>
          <w:rPr>
            <w:noProof/>
            <w:webHidden/>
          </w:rPr>
          <w:tab/>
        </w:r>
        <w:r>
          <w:rPr>
            <w:noProof/>
            <w:webHidden/>
          </w:rPr>
          <w:fldChar w:fldCharType="begin"/>
        </w:r>
        <w:r>
          <w:rPr>
            <w:noProof/>
            <w:webHidden/>
          </w:rPr>
          <w:instrText xml:space="preserve"> PAGEREF _Toc157084288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9062"/>
        </w:tabs>
        <w:rPr>
          <w:rFonts w:eastAsiaTheme="minorEastAsia"/>
          <w:noProof/>
          <w:lang w:eastAsia="fr-FR"/>
        </w:rPr>
      </w:pPr>
      <w:hyperlink w:anchor="_Toc157084289" w:history="1">
        <w:r>
          <w:rPr>
            <w:rStyle w:val="Lienhypertexte"/>
            <w:noProof/>
          </w:rPr>
          <w:t>2.2</w:t>
        </w:r>
        <w:r>
          <w:rPr>
            <w:rFonts w:eastAsiaTheme="minorEastAsia"/>
            <w:noProof/>
            <w:lang w:eastAsia="fr-FR"/>
          </w:rPr>
          <w:tab/>
        </w:r>
        <w:r>
          <w:rPr>
            <w:rStyle w:val="Lienhypertexte"/>
            <w:noProof/>
          </w:rPr>
          <w:t>Versions d’actualisation</w:t>
        </w:r>
        <w:r>
          <w:rPr>
            <w:noProof/>
            <w:webHidden/>
          </w:rPr>
          <w:tab/>
        </w:r>
        <w:r>
          <w:rPr>
            <w:noProof/>
            <w:webHidden/>
          </w:rPr>
          <w:fldChar w:fldCharType="begin"/>
        </w:r>
        <w:r>
          <w:rPr>
            <w:noProof/>
            <w:webHidden/>
          </w:rPr>
          <w:instrText xml:space="preserve"> PAGEREF _Toc157084289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9062"/>
        </w:tabs>
        <w:rPr>
          <w:rFonts w:eastAsiaTheme="minorEastAsia"/>
          <w:noProof/>
          <w:lang w:eastAsia="fr-FR"/>
        </w:rPr>
      </w:pPr>
      <w:hyperlink w:anchor="_Toc157084290" w:history="1">
        <w:r>
          <w:rPr>
            <w:rStyle w:val="Lienhypertexte"/>
            <w:noProof/>
          </w:rPr>
          <w:t>2.3</w:t>
        </w:r>
        <w:r>
          <w:rPr>
            <w:rFonts w:eastAsiaTheme="minorEastAsia"/>
            <w:noProof/>
            <w:lang w:eastAsia="fr-FR"/>
          </w:rPr>
          <w:tab/>
        </w:r>
        <w:r>
          <w:rPr>
            <w:rStyle w:val="Lienhypertexte"/>
            <w:noProof/>
          </w:rPr>
          <w:t>Version intermédiaire 23.10.00</w:t>
        </w:r>
        <w:r>
          <w:rPr>
            <w:noProof/>
            <w:webHidden/>
          </w:rPr>
          <w:tab/>
        </w:r>
        <w:r>
          <w:rPr>
            <w:noProof/>
            <w:webHidden/>
          </w:rPr>
          <w:fldChar w:fldCharType="begin"/>
        </w:r>
        <w:r>
          <w:rPr>
            <w:noProof/>
            <w:webHidden/>
          </w:rPr>
          <w:instrText xml:space="preserve"> PAGEREF _Toc157084290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1" w:history="1">
        <w:r>
          <w:rPr>
            <w:rStyle w:val="Lienhypertexte"/>
            <w:noProof/>
          </w:rPr>
          <w:t>2.3.1</w:t>
        </w:r>
        <w:r>
          <w:rPr>
            <w:rFonts w:eastAsiaTheme="minorEastAsia"/>
            <w:noProof/>
            <w:lang w:eastAsia="fr-FR"/>
          </w:rPr>
          <w:tab/>
        </w:r>
        <w:r>
          <w:rPr>
            <w:rStyle w:val="Lienhypertexte"/>
            <w:noProof/>
          </w:rPr>
          <w:t>Dictionnaire des concepts (Nom du fichier : Dictionnaire des concepts_23.10.00.doc)</w:t>
        </w:r>
        <w:r>
          <w:rPr>
            <w:noProof/>
            <w:webHidden/>
          </w:rPr>
          <w:tab/>
        </w:r>
        <w:r>
          <w:rPr>
            <w:noProof/>
            <w:webHidden/>
          </w:rPr>
          <w:fldChar w:fldCharType="begin"/>
        </w:r>
        <w:r>
          <w:rPr>
            <w:noProof/>
            <w:webHidden/>
          </w:rPr>
          <w:instrText xml:space="preserve"> PAGEREF _Toc157084291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2" w:history="1">
        <w:r>
          <w:rPr>
            <w:rStyle w:val="Lienhypertexte"/>
            <w:noProof/>
          </w:rPr>
          <w:t>2.3.2</w:t>
        </w:r>
        <w:r>
          <w:rPr>
            <w:rFonts w:eastAsiaTheme="minorEastAsia"/>
            <w:noProof/>
            <w:lang w:eastAsia="fr-FR"/>
          </w:rPr>
          <w:tab/>
        </w:r>
        <w:r>
          <w:rPr>
            <w:rStyle w:val="Lienhypertexte"/>
            <w:noProof/>
          </w:rPr>
          <w:t>Dictionnaire des données (Nom du fichier : Dictionnaire des données_23.10.00.xls)</w:t>
        </w:r>
        <w:r>
          <w:rPr>
            <w:noProof/>
            <w:webHidden/>
          </w:rPr>
          <w:tab/>
        </w:r>
        <w:r>
          <w:rPr>
            <w:noProof/>
            <w:webHidden/>
          </w:rPr>
          <w:fldChar w:fldCharType="begin"/>
        </w:r>
        <w:r>
          <w:rPr>
            <w:noProof/>
            <w:webHidden/>
          </w:rPr>
          <w:instrText xml:space="preserve"> PAGEREF _Toc157084292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3" w:history="1">
        <w:r>
          <w:rPr>
            <w:rStyle w:val="Lienhypertexte"/>
            <w:noProof/>
          </w:rPr>
          <w:t>2.3.3</w:t>
        </w:r>
        <w:r>
          <w:rPr>
            <w:rFonts w:eastAsiaTheme="minorEastAsia"/>
            <w:noProof/>
            <w:lang w:eastAsia="fr-FR"/>
          </w:rPr>
          <w:tab/>
        </w:r>
        <w:r>
          <w:rPr>
            <w:rStyle w:val="Lienhypertexte"/>
            <w:noProof/>
          </w:rPr>
          <w:t>Répertoire des évènements</w:t>
        </w:r>
        <w:r>
          <w:rPr>
            <w:noProof/>
            <w:webHidden/>
          </w:rPr>
          <w:tab/>
        </w:r>
        <w:r>
          <w:rPr>
            <w:noProof/>
            <w:webHidden/>
          </w:rPr>
          <w:fldChar w:fldCharType="begin"/>
        </w:r>
        <w:r>
          <w:rPr>
            <w:noProof/>
            <w:webHidden/>
          </w:rPr>
          <w:instrText xml:space="preserve"> PAGEREF _Toc157084293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4" w:history="1">
        <w:r>
          <w:rPr>
            <w:rStyle w:val="Lienhypertexte"/>
            <w:noProof/>
          </w:rPr>
          <w:t>2.3.4</w:t>
        </w:r>
        <w:r>
          <w:rPr>
            <w:rFonts w:eastAsiaTheme="minorEastAsia"/>
            <w:noProof/>
            <w:lang w:eastAsia="fr-FR"/>
          </w:rPr>
          <w:tab/>
        </w:r>
        <w:r>
          <w:rPr>
            <w:rStyle w:val="Lienhypertexte"/>
            <w:noProof/>
          </w:rPr>
          <w:t>Référentiel des règles de gestion</w:t>
        </w:r>
        <w:r>
          <w:rPr>
            <w:noProof/>
            <w:webHidden/>
          </w:rPr>
          <w:tab/>
        </w:r>
        <w:r>
          <w:rPr>
            <w:noProof/>
            <w:webHidden/>
          </w:rPr>
          <w:fldChar w:fldCharType="begin"/>
        </w:r>
        <w:r>
          <w:rPr>
            <w:noProof/>
            <w:webHidden/>
          </w:rPr>
          <w:instrText xml:space="preserve"> PAGEREF _Toc157084294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5" w:history="1">
        <w:r>
          <w:rPr>
            <w:rStyle w:val="Lienhypertexte"/>
            <w:noProof/>
          </w:rPr>
          <w:t>2.3.5</w:t>
        </w:r>
        <w:r>
          <w:rPr>
            <w:rFonts w:eastAsiaTheme="minorEastAsia"/>
            <w:noProof/>
            <w:lang w:eastAsia="fr-FR"/>
          </w:rPr>
          <w:tab/>
        </w:r>
        <w:r>
          <w:rPr>
            <w:rStyle w:val="Lienhypertexte"/>
            <w:noProof/>
          </w:rPr>
          <w:t>Référentiel des fonctions</w:t>
        </w:r>
        <w:r>
          <w:rPr>
            <w:noProof/>
            <w:webHidden/>
          </w:rPr>
          <w:tab/>
        </w:r>
        <w:r>
          <w:rPr>
            <w:noProof/>
            <w:webHidden/>
          </w:rPr>
          <w:fldChar w:fldCharType="begin"/>
        </w:r>
        <w:r>
          <w:rPr>
            <w:noProof/>
            <w:webHidden/>
          </w:rPr>
          <w:instrText xml:space="preserve"> PAGEREF _Toc157084295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6" w:history="1">
        <w:r>
          <w:rPr>
            <w:rStyle w:val="Lienhypertexte"/>
            <w:noProof/>
          </w:rPr>
          <w:t>2.3.6</w:t>
        </w:r>
        <w:r>
          <w:rPr>
            <w:rFonts w:eastAsiaTheme="minorEastAsia"/>
            <w:noProof/>
            <w:lang w:eastAsia="fr-FR"/>
          </w:rPr>
          <w:tab/>
        </w:r>
        <w:r>
          <w:rPr>
            <w:rStyle w:val="Lienhypertexte"/>
            <w:noProof/>
          </w:rPr>
          <w:t>Référentiel technique</w:t>
        </w:r>
        <w:r>
          <w:rPr>
            <w:noProof/>
            <w:webHidden/>
          </w:rPr>
          <w:tab/>
        </w:r>
        <w:r>
          <w:rPr>
            <w:noProof/>
            <w:webHidden/>
          </w:rPr>
          <w:fldChar w:fldCharType="begin"/>
        </w:r>
        <w:r>
          <w:rPr>
            <w:noProof/>
            <w:webHidden/>
          </w:rPr>
          <w:instrText xml:space="preserve"> PAGEREF _Toc157084296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7" w:history="1">
        <w:r>
          <w:rPr>
            <w:rStyle w:val="Lienhypertexte"/>
            <w:noProof/>
          </w:rPr>
          <w:t>2.3.7</w:t>
        </w:r>
        <w:r>
          <w:rPr>
            <w:rFonts w:eastAsiaTheme="minorEastAsia"/>
            <w:noProof/>
            <w:lang w:eastAsia="fr-FR"/>
          </w:rPr>
          <w:tab/>
        </w:r>
        <w:r>
          <w:rPr>
            <w:rStyle w:val="Lienhypertexte"/>
            <w:noProof/>
          </w:rPr>
          <w:t>Fiches de maintenance</w:t>
        </w:r>
        <w:r>
          <w:rPr>
            <w:noProof/>
            <w:webHidden/>
          </w:rPr>
          <w:tab/>
        </w:r>
        <w:r>
          <w:rPr>
            <w:noProof/>
            <w:webHidden/>
          </w:rPr>
          <w:fldChar w:fldCharType="begin"/>
        </w:r>
        <w:r>
          <w:rPr>
            <w:noProof/>
            <w:webHidden/>
          </w:rPr>
          <w:instrText xml:space="preserve"> PAGEREF _Toc157084297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8" w:history="1">
        <w:r>
          <w:rPr>
            <w:rStyle w:val="Lienhypertexte"/>
            <w:noProof/>
          </w:rPr>
          <w:t>2.3.8</w:t>
        </w:r>
        <w:r>
          <w:rPr>
            <w:rFonts w:eastAsiaTheme="minorEastAsia"/>
            <w:noProof/>
            <w:lang w:eastAsia="fr-FR"/>
          </w:rPr>
          <w:tab/>
        </w:r>
        <w:r>
          <w:rPr>
            <w:rStyle w:val="Lienhypertexte"/>
            <w:noProof/>
          </w:rPr>
          <w:t>Informations complémentaires</w:t>
        </w:r>
        <w:r>
          <w:rPr>
            <w:noProof/>
            <w:webHidden/>
          </w:rPr>
          <w:tab/>
        </w:r>
        <w:r>
          <w:rPr>
            <w:noProof/>
            <w:webHidden/>
          </w:rPr>
          <w:fldChar w:fldCharType="begin"/>
        </w:r>
        <w:r>
          <w:rPr>
            <w:noProof/>
            <w:webHidden/>
          </w:rPr>
          <w:instrText xml:space="preserve"> PAGEREF _Toc157084298 \h </w:instrText>
        </w:r>
        <w:r>
          <w:rPr>
            <w:noProof/>
            <w:webHidden/>
          </w:rPr>
        </w:r>
        <w:r>
          <w:rPr>
            <w:noProof/>
            <w:webHidden/>
          </w:rPr>
          <w:fldChar w:fldCharType="separate"/>
        </w:r>
        <w:r>
          <w:rPr>
            <w:noProof/>
            <w:webHidden/>
          </w:rPr>
          <w:t>12</w:t>
        </w:r>
        <w:r>
          <w:rPr>
            <w:noProof/>
            <w:webHidden/>
          </w:rPr>
          <w:fldChar w:fldCharType="end"/>
        </w:r>
      </w:hyperlink>
    </w:p>
    <w:p>
      <w:pPr>
        <w:pStyle w:val="TM3"/>
        <w:tabs>
          <w:tab w:val="left" w:pos="1320"/>
          <w:tab w:val="right" w:leader="dot" w:pos="9062"/>
        </w:tabs>
        <w:rPr>
          <w:rFonts w:eastAsiaTheme="minorEastAsia"/>
          <w:noProof/>
          <w:lang w:eastAsia="fr-FR"/>
        </w:rPr>
      </w:pPr>
      <w:hyperlink w:anchor="_Toc157084299" w:history="1">
        <w:r>
          <w:rPr>
            <w:rStyle w:val="Lienhypertexte"/>
            <w:noProof/>
          </w:rPr>
          <w:t>2.3.9</w:t>
        </w:r>
        <w:r>
          <w:rPr>
            <w:rFonts w:eastAsiaTheme="minorEastAsia"/>
            <w:noProof/>
            <w:lang w:eastAsia="fr-FR"/>
          </w:rPr>
          <w:tab/>
        </w:r>
        <w:r>
          <w:rPr>
            <w:rStyle w:val="Lienhypertexte"/>
            <w:noProof/>
          </w:rPr>
          <w:t>Bibliothèque des actes</w:t>
        </w:r>
        <w:r>
          <w:rPr>
            <w:noProof/>
            <w:webHidden/>
          </w:rPr>
          <w:tab/>
        </w:r>
        <w:r>
          <w:rPr>
            <w:noProof/>
            <w:webHidden/>
          </w:rPr>
          <w:fldChar w:fldCharType="begin"/>
        </w:r>
        <w:r>
          <w:rPr>
            <w:noProof/>
            <w:webHidden/>
          </w:rPr>
          <w:instrText xml:space="preserve"> PAGEREF _Toc157084299 \h </w:instrText>
        </w:r>
        <w:r>
          <w:rPr>
            <w:noProof/>
            <w:webHidden/>
          </w:rPr>
        </w:r>
        <w:r>
          <w:rPr>
            <w:noProof/>
            <w:webHidden/>
          </w:rPr>
          <w:fldChar w:fldCharType="separate"/>
        </w:r>
        <w:r>
          <w:rPr>
            <w:noProof/>
            <w:webHidden/>
          </w:rPr>
          <w:t>14</w:t>
        </w:r>
        <w:r>
          <w:rPr>
            <w:noProof/>
            <w:webHidden/>
          </w:rPr>
          <w:fldChar w:fldCharType="end"/>
        </w:r>
      </w:hyperlink>
    </w:p>
    <w:p>
      <w:pPr>
        <w:pStyle w:val="TM1"/>
        <w:tabs>
          <w:tab w:val="left" w:pos="440"/>
          <w:tab w:val="right" w:leader="dot" w:pos="9062"/>
        </w:tabs>
        <w:rPr>
          <w:rFonts w:eastAsiaTheme="minorEastAsia"/>
          <w:noProof/>
          <w:lang w:eastAsia="fr-FR"/>
        </w:rPr>
      </w:pPr>
      <w:hyperlink w:anchor="_Toc157084300" w:history="1">
        <w:r>
          <w:rPr>
            <w:rStyle w:val="Lienhypertexte"/>
            <w:noProof/>
          </w:rPr>
          <w:t>3.</w:t>
        </w:r>
        <w:r>
          <w:rPr>
            <w:rFonts w:eastAsiaTheme="minorEastAsia"/>
            <w:noProof/>
            <w:lang w:eastAsia="fr-FR"/>
          </w:rPr>
          <w:tab/>
        </w:r>
        <w:r>
          <w:rPr>
            <w:rStyle w:val="Lienhypertexte"/>
            <w:noProof/>
          </w:rPr>
          <w:t>Diffusion</w:t>
        </w:r>
        <w:r>
          <w:rPr>
            <w:noProof/>
            <w:webHidden/>
          </w:rPr>
          <w:tab/>
        </w:r>
        <w:r>
          <w:rPr>
            <w:noProof/>
            <w:webHidden/>
          </w:rPr>
          <w:fldChar w:fldCharType="begin"/>
        </w:r>
        <w:r>
          <w:rPr>
            <w:noProof/>
            <w:webHidden/>
          </w:rPr>
          <w:instrText xml:space="preserve"> PAGEREF _Toc157084300 \h </w:instrText>
        </w:r>
        <w:r>
          <w:rPr>
            <w:noProof/>
            <w:webHidden/>
          </w:rPr>
        </w:r>
        <w:r>
          <w:rPr>
            <w:noProof/>
            <w:webHidden/>
          </w:rPr>
          <w:fldChar w:fldCharType="separate"/>
        </w:r>
        <w:r>
          <w:rPr>
            <w:noProof/>
            <w:webHidden/>
          </w:rPr>
          <w:t>16</w:t>
        </w:r>
        <w:r>
          <w:rPr>
            <w:noProof/>
            <w:webHidden/>
          </w:rPr>
          <w:fldChar w:fldCharType="end"/>
        </w:r>
      </w:hyperlink>
    </w:p>
    <w:p>
      <w:pPr>
        <w:rPr>
          <w:rFonts w:ascii="Arial" w:hAnsi="Arial" w:cs="Arial"/>
        </w:rPr>
      </w:pPr>
      <w:r>
        <w:rPr>
          <w:rFonts w:ascii="Arial" w:hAnsi="Arial" w:cs="Arial"/>
        </w:rPr>
        <w:fldChar w:fldCharType="end"/>
      </w:r>
    </w:p>
    <w:p/>
    <w:p/>
    <w:p/>
    <w:p/>
    <w:p/>
    <w:p>
      <w:r>
        <w:br w:type="page"/>
      </w:r>
    </w:p>
    <w:p/>
    <w:p/>
    <w:p>
      <w:pPr>
        <w:jc w:val="center"/>
        <w:rPr>
          <w:rFonts w:ascii="Arial" w:hAnsi="Arial" w:cs="Arial"/>
          <w:b/>
          <w:sz w:val="28"/>
          <w:szCs w:val="32"/>
        </w:rPr>
      </w:pPr>
      <w:r>
        <w:rPr>
          <w:rFonts w:ascii="Arial" w:hAnsi="Arial" w:cs="Arial"/>
          <w:b/>
          <w:sz w:val="28"/>
          <w:szCs w:val="32"/>
        </w:rPr>
        <w:t>Validation du document</w:t>
      </w:r>
    </w:p>
    <w:tbl>
      <w:tblPr>
        <w:tblW w:w="103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270"/>
        <w:gridCol w:w="1277"/>
        <w:gridCol w:w="1277"/>
        <w:gridCol w:w="1396"/>
        <w:gridCol w:w="1427"/>
      </w:tblGrid>
      <w:tr>
        <w:trPr>
          <w:trHeight w:val="342"/>
          <w:tblHeader/>
        </w:trPr>
        <w:tc>
          <w:tcPr>
            <w:tcW w:w="2695" w:type="dxa"/>
            <w:vMerge w:val="restart"/>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Nom</w:t>
            </w:r>
          </w:p>
        </w:tc>
        <w:tc>
          <w:tcPr>
            <w:tcW w:w="2270" w:type="dxa"/>
            <w:vMerge w:val="restart"/>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Entité</w:t>
            </w:r>
          </w:p>
        </w:tc>
        <w:tc>
          <w:tcPr>
            <w:tcW w:w="5377" w:type="dxa"/>
            <w:gridSpan w:val="4"/>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Destinataires</w:t>
            </w:r>
          </w:p>
        </w:tc>
      </w:tr>
      <w:tr>
        <w:trPr>
          <w:trHeight w:val="362"/>
          <w:tblHeader/>
        </w:trPr>
        <w:tc>
          <w:tcPr>
            <w:tcW w:w="2695" w:type="dxa"/>
            <w:vMerge/>
            <w:shd w:val="clear" w:color="auto" w:fill="B8CCE4"/>
            <w:vAlign w:val="center"/>
          </w:tcPr>
          <w:p>
            <w:pPr>
              <w:pStyle w:val="En-tte"/>
              <w:tabs>
                <w:tab w:val="clear" w:pos="4536"/>
                <w:tab w:val="clear" w:pos="9072"/>
              </w:tabs>
              <w:jc w:val="center"/>
              <w:rPr>
                <w:rFonts w:ascii="Arial" w:hAnsi="Arial" w:cs="Arial"/>
                <w:b/>
                <w:sz w:val="18"/>
                <w:szCs w:val="18"/>
              </w:rPr>
            </w:pPr>
          </w:p>
        </w:tc>
        <w:tc>
          <w:tcPr>
            <w:tcW w:w="2270" w:type="dxa"/>
            <w:vMerge/>
            <w:shd w:val="clear" w:color="auto" w:fill="B8CCE4"/>
            <w:vAlign w:val="center"/>
          </w:tcPr>
          <w:p>
            <w:pPr>
              <w:pStyle w:val="En-tte"/>
              <w:tabs>
                <w:tab w:val="clear" w:pos="4536"/>
                <w:tab w:val="clear" w:pos="9072"/>
              </w:tabs>
              <w:jc w:val="center"/>
              <w:rPr>
                <w:rFonts w:ascii="Arial" w:hAnsi="Arial" w:cs="Arial"/>
                <w:b/>
                <w:sz w:val="18"/>
                <w:szCs w:val="18"/>
              </w:rPr>
            </w:pPr>
          </w:p>
        </w:tc>
        <w:tc>
          <w:tcPr>
            <w:tcW w:w="1277"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Information</w:t>
            </w:r>
          </w:p>
        </w:tc>
        <w:tc>
          <w:tcPr>
            <w:tcW w:w="1277"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Relecture</w:t>
            </w:r>
          </w:p>
        </w:tc>
        <w:tc>
          <w:tcPr>
            <w:tcW w:w="1396"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Contribution</w:t>
            </w:r>
          </w:p>
        </w:tc>
        <w:tc>
          <w:tcPr>
            <w:tcW w:w="1426"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Validation</w:t>
            </w:r>
          </w:p>
        </w:tc>
      </w:tr>
      <w:tr>
        <w:trPr>
          <w:trHeight w:val="324"/>
        </w:trPr>
        <w:tc>
          <w:tcPr>
            <w:tcW w:w="2695"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BARRI</w:t>
            </w:r>
          </w:p>
        </w:tc>
        <w:tc>
          <w:tcPr>
            <w:tcW w:w="2270"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CISIRH</w:t>
            </w:r>
          </w:p>
        </w:tc>
        <w:tc>
          <w:tcPr>
            <w:tcW w:w="1277" w:type="dxa"/>
            <w:vAlign w:val="center"/>
          </w:tcPr>
          <w:p>
            <w:pPr>
              <w:pStyle w:val="En-tte"/>
              <w:tabs>
                <w:tab w:val="clear" w:pos="4536"/>
                <w:tab w:val="clear" w:pos="9072"/>
              </w:tabs>
              <w:jc w:val="center"/>
              <w:rPr>
                <w:rFonts w:ascii="Arial" w:hAnsi="Arial" w:cs="Arial"/>
                <w:sz w:val="18"/>
                <w:szCs w:val="18"/>
              </w:rPr>
            </w:pPr>
          </w:p>
        </w:tc>
        <w:tc>
          <w:tcPr>
            <w:tcW w:w="1277" w:type="dxa"/>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X</w:t>
            </w:r>
          </w:p>
        </w:tc>
        <w:tc>
          <w:tcPr>
            <w:tcW w:w="1396" w:type="dxa"/>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X</w:t>
            </w:r>
          </w:p>
        </w:tc>
        <w:tc>
          <w:tcPr>
            <w:tcW w:w="1426" w:type="dxa"/>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X</w:t>
            </w:r>
          </w:p>
        </w:tc>
      </w:tr>
    </w:tbl>
    <w:p>
      <w:pPr>
        <w:pStyle w:val="En-tte"/>
        <w:tabs>
          <w:tab w:val="clear" w:pos="4536"/>
          <w:tab w:val="clear" w:pos="9072"/>
        </w:tabs>
        <w:rPr>
          <w:rFonts w:ascii="Arial" w:hAnsi="Arial" w:cs="Arial"/>
        </w:rPr>
      </w:pPr>
    </w:p>
    <w:p>
      <w:pPr>
        <w:pStyle w:val="En-tte"/>
        <w:tabs>
          <w:tab w:val="clear" w:pos="4536"/>
          <w:tab w:val="clear" w:pos="9072"/>
        </w:tabs>
        <w:rPr>
          <w:rFonts w:ascii="Arial" w:hAnsi="Arial" w:cs="Arial"/>
        </w:rPr>
      </w:pPr>
    </w:p>
    <w:p>
      <w:pPr>
        <w:jc w:val="center"/>
        <w:rPr>
          <w:rFonts w:ascii="Arial" w:hAnsi="Arial" w:cs="Arial"/>
          <w:b/>
          <w:sz w:val="28"/>
          <w:szCs w:val="32"/>
        </w:rPr>
      </w:pPr>
      <w:r>
        <w:rPr>
          <w:rFonts w:ascii="Arial" w:hAnsi="Arial" w:cs="Arial"/>
          <w:b/>
          <w:sz w:val="28"/>
          <w:szCs w:val="32"/>
        </w:rPr>
        <w:t>Document de référence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8"/>
        <w:gridCol w:w="6095"/>
        <w:gridCol w:w="1701"/>
      </w:tblGrid>
      <w:tr>
        <w:trPr>
          <w:tblHeader/>
        </w:trPr>
        <w:tc>
          <w:tcPr>
            <w:tcW w:w="1135"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Type du document</w:t>
            </w:r>
          </w:p>
        </w:tc>
        <w:tc>
          <w:tcPr>
            <w:tcW w:w="1418"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Origine</w:t>
            </w:r>
          </w:p>
        </w:tc>
        <w:tc>
          <w:tcPr>
            <w:tcW w:w="6095"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Nom du document</w:t>
            </w:r>
          </w:p>
        </w:tc>
        <w:tc>
          <w:tcPr>
            <w:tcW w:w="1701" w:type="dxa"/>
            <w:shd w:val="clear" w:color="auto" w:fill="B8CCE4"/>
            <w:vAlign w:val="center"/>
          </w:tcPr>
          <w:p>
            <w:pPr>
              <w:pStyle w:val="En-tte"/>
              <w:tabs>
                <w:tab w:val="clear" w:pos="4536"/>
                <w:tab w:val="clear" w:pos="9072"/>
              </w:tabs>
              <w:jc w:val="center"/>
              <w:rPr>
                <w:rFonts w:ascii="Arial" w:hAnsi="Arial" w:cs="Arial"/>
                <w:b/>
                <w:sz w:val="18"/>
                <w:szCs w:val="18"/>
              </w:rPr>
            </w:pPr>
            <w:r>
              <w:rPr>
                <w:rFonts w:ascii="Arial" w:hAnsi="Arial" w:cs="Arial"/>
                <w:b/>
                <w:sz w:val="18"/>
                <w:szCs w:val="18"/>
              </w:rPr>
              <w:t>Date</w:t>
            </w:r>
          </w:p>
        </w:tc>
      </w:tr>
      <w:tr>
        <w:tc>
          <w:tcPr>
            <w:tcW w:w="1135"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w:t>
            </w:r>
          </w:p>
        </w:tc>
        <w:tc>
          <w:tcPr>
            <w:tcW w:w="6095"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w:t>
            </w:r>
          </w:p>
        </w:tc>
        <w:tc>
          <w:tcPr>
            <w:tcW w:w="1701" w:type="dxa"/>
            <w:shd w:val="clear" w:color="auto" w:fill="auto"/>
            <w:vAlign w:val="center"/>
          </w:tcPr>
          <w:p>
            <w:pPr>
              <w:pStyle w:val="En-tte"/>
              <w:tabs>
                <w:tab w:val="clear" w:pos="4536"/>
                <w:tab w:val="clear" w:pos="9072"/>
              </w:tabs>
              <w:jc w:val="center"/>
              <w:rPr>
                <w:rFonts w:ascii="Arial" w:hAnsi="Arial" w:cs="Arial"/>
                <w:sz w:val="18"/>
                <w:szCs w:val="18"/>
              </w:rPr>
            </w:pPr>
            <w:r>
              <w:rPr>
                <w:rFonts w:ascii="Arial" w:hAnsi="Arial" w:cs="Arial"/>
                <w:sz w:val="18"/>
                <w:szCs w:val="18"/>
              </w:rPr>
              <w:t>-</w:t>
            </w:r>
          </w:p>
        </w:tc>
      </w:tr>
    </w:tbl>
    <w:p>
      <w:r>
        <w:br w:type="page"/>
      </w:r>
    </w:p>
    <w:p/>
    <w:p>
      <w:pPr>
        <w:pStyle w:val="Titre1"/>
      </w:pPr>
      <w:bookmarkStart w:id="0" w:name="_Toc157084286"/>
      <w:r>
        <w:t>Liste des référentiels concernés par la diffusion</w:t>
      </w:r>
      <w:bookmarkEnd w:id="0"/>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Dictionnaire des concepts</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Dictionnaire des données</w:t>
      </w:r>
    </w:p>
    <w:p>
      <w:r>
        <w:fldChar w:fldCharType="begin">
          <w:ffData>
            <w:name w:val="CaseACocher1"/>
            <w:enabled/>
            <w:calcOnExit w:val="0"/>
            <w:checkBox>
              <w:sizeAuto/>
              <w:default w:val="1"/>
            </w:checkBox>
          </w:ffData>
        </w:fldChar>
      </w:r>
      <w:r>
        <w:instrText xml:space="preserve"> FORMCHECKBOX </w:instrText>
      </w:r>
      <w:r>
        <w:fldChar w:fldCharType="separate"/>
      </w:r>
      <w:r>
        <w:fldChar w:fldCharType="end"/>
      </w:r>
      <w:r>
        <w:t xml:space="preserve"> Répertoire des événements</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Référentiel des règles de gestion</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Référentiel des fonctions</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Référentiel technique</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Fiches de maintenance</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Informations complémentaires</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Bibliothèque des actes</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Guides de référence</w:t>
      </w:r>
    </w:p>
    <w:p>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Référentiels de classification centraux (RCC)</w:t>
      </w:r>
    </w:p>
    <w:p/>
    <w:p>
      <w:pPr>
        <w:rPr>
          <w:rFonts w:ascii="Arial" w:hAnsi="Arial" w:cs="Arial"/>
          <w:b/>
          <w:sz w:val="28"/>
        </w:rPr>
      </w:pPr>
    </w:p>
    <w:p>
      <w:pPr>
        <w:pStyle w:val="Titre1"/>
      </w:pPr>
      <w:bookmarkStart w:id="1" w:name="_Toc18679669"/>
      <w:bookmarkStart w:id="2" w:name="_Toc157084287"/>
      <w:r>
        <w:t>Présentation générale des mises à jour</w:t>
      </w:r>
      <w:bookmarkEnd w:id="1"/>
      <w:bookmarkEnd w:id="2"/>
    </w:p>
    <w:p>
      <w:pPr>
        <w:pStyle w:val="Titre2"/>
        <w:jc w:val="both"/>
      </w:pPr>
      <w:bookmarkStart w:id="3" w:name="_Toc18679670"/>
      <w:bookmarkStart w:id="4" w:name="_Toc157084288"/>
      <w:r>
        <w:t xml:space="preserve">Noyau RH FPE et contexte de la diffusion de la version </w:t>
      </w:r>
      <w:bookmarkEnd w:id="3"/>
      <w:r>
        <w:t>intermédiaire  23.10.00 du Noyau</w:t>
      </w:r>
      <w:bookmarkEnd w:id="4"/>
      <w:r>
        <w:t xml:space="preserve"> </w:t>
      </w:r>
    </w:p>
    <w:p>
      <w:pPr>
        <w:pStyle w:val="CORPSDETEXTEDICO"/>
        <w:spacing w:before="120" w:after="120"/>
        <w:ind w:left="360"/>
        <w:rPr>
          <w:rFonts w:ascii="Arial" w:hAnsi="Arial" w:cs="Arial"/>
          <w:sz w:val="22"/>
        </w:rPr>
      </w:pPr>
      <w:r>
        <w:rPr>
          <w:rFonts w:ascii="Arial" w:hAnsi="Arial" w:cs="Arial"/>
          <w:sz w:val="22"/>
        </w:rPr>
        <w:t>Le Noyau RH FPE est défini comme un corpus documentaire de référentiels interministériels, conformes à la réglementation en vigueur, sans adhérence directe avec un éditeur. Il est co-construit par le CISIRH, les ministères et les directions réglementaires dans l’objectif de faciliter et organiser la convergence des SIRH.</w:t>
      </w:r>
    </w:p>
    <w:p>
      <w:pPr>
        <w:pStyle w:val="CORPSDETEXTEDICO"/>
        <w:spacing w:before="120" w:after="120"/>
        <w:ind w:left="360"/>
        <w:rPr>
          <w:rFonts w:ascii="Arial" w:hAnsi="Arial" w:cs="Arial"/>
          <w:sz w:val="22"/>
        </w:rPr>
      </w:pPr>
      <w:r>
        <w:rPr>
          <w:rFonts w:ascii="Arial" w:hAnsi="Arial" w:cs="Arial"/>
          <w:sz w:val="22"/>
        </w:rPr>
        <w:t>Les référentiels du Noyau RH FPE évoluent au rythme des évolutions réglementaires, des corrections apportées, des demandes complémentaires des ministères, des maintenances de l’application PAY, des évolutions du fichier interface partenaire (FIP) mises en œuvre par le Service des Retraites de l’Etat (SRE), ou encore des impacts liés à la mise en œuvre de la Déclaration Sociale Nominative (DSN) mensuelle.</w:t>
      </w:r>
    </w:p>
    <w:p>
      <w:pPr>
        <w:rPr>
          <w:rFonts w:ascii="Arial" w:eastAsia="Times New Roman" w:hAnsi="Arial" w:cs="Arial"/>
          <w:szCs w:val="24"/>
          <w:lang w:eastAsia="ar-SA"/>
        </w:rPr>
      </w:pPr>
      <w:r>
        <w:rPr>
          <w:rFonts w:ascii="Arial" w:hAnsi="Arial" w:cs="Arial"/>
        </w:rPr>
        <w:br w:type="page"/>
      </w:r>
    </w:p>
    <w:p>
      <w:bookmarkStart w:id="5" w:name="_Toc18679671"/>
      <w:r>
        <w:rPr>
          <w:noProof/>
          <w:lang w:eastAsia="fr-FR"/>
        </w:rPr>
        <w:lastRenderedPageBreak/>
        <w:drawing>
          <wp:anchor distT="0" distB="0" distL="114300" distR="114300" simplePos="0" relativeHeight="251699200" behindDoc="0" locked="0" layoutInCell="1" allowOverlap="1">
            <wp:simplePos x="0" y="0"/>
            <wp:positionH relativeFrom="leftMargin">
              <wp:posOffset>513080</wp:posOffset>
            </wp:positionH>
            <wp:positionV relativeFrom="paragraph">
              <wp:posOffset>290830</wp:posOffset>
            </wp:positionV>
            <wp:extent cx="386715" cy="339090"/>
            <wp:effectExtent l="0" t="0" r="0" b="3810"/>
            <wp:wrapSquare wrapText="bothSides"/>
            <wp:docPr id="6" name="Image 6" descr="C:\Users\pfougere-adc\AppData\Local\Microsoft\Windows\Temporary Internet Files\Content.IE5\5POC9SWS\Panneau-Att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fougere-adc\AppData\Local\Microsoft\Windows\Temporary Internet Files\Content.IE5\5POC9SWS\Panneau-Attenti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 cy="33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CORPSDETEXTEDICO"/>
        <w:spacing w:after="120"/>
        <w:ind w:left="360"/>
        <w:rPr>
          <w:rFonts w:ascii="Arial" w:hAnsi="Arial" w:cs="Arial"/>
          <w:b/>
          <w:sz w:val="22"/>
        </w:rPr>
      </w:pPr>
      <w:r>
        <w:rPr>
          <w:rFonts w:ascii="Arial" w:hAnsi="Arial" w:cs="Arial"/>
          <w:b/>
          <w:sz w:val="22"/>
        </w:rPr>
        <w:t>Les 21 fiches de maintenance (FIME) du Noyau RH FPE en version 23.10.00 portent principalement sur :</w:t>
      </w:r>
    </w:p>
    <w:p>
      <w:pPr>
        <w:pStyle w:val="CORPSDETEXTEDICO"/>
        <w:numPr>
          <w:ilvl w:val="0"/>
          <w:numId w:val="4"/>
        </w:numPr>
        <w:spacing w:before="120"/>
        <w:rPr>
          <w:rFonts w:ascii="Arial" w:hAnsi="Arial" w:cs="Arial"/>
          <w:color w:val="002060"/>
          <w:sz w:val="22"/>
        </w:rPr>
      </w:pPr>
      <w:r>
        <w:rPr>
          <w:rFonts w:ascii="Arial" w:hAnsi="Arial" w:cs="Arial"/>
          <w:color w:val="002060"/>
          <w:sz w:val="22"/>
        </w:rPr>
        <w:t>la prise en compte des impacts de la loi n° 2023-567 du 7 juillet 2023 visant à favoriser l'accompagnement des couples confrontés à une interruption spontanée de grossesse dite fausse couche;</w:t>
      </w:r>
    </w:p>
    <w:p>
      <w:pPr>
        <w:pStyle w:val="CORPSDETEXTEDICO"/>
        <w:numPr>
          <w:ilvl w:val="0"/>
          <w:numId w:val="4"/>
        </w:numPr>
        <w:spacing w:before="120"/>
        <w:rPr>
          <w:rFonts w:ascii="Arial" w:hAnsi="Arial" w:cs="Arial"/>
          <w:color w:val="002060"/>
          <w:sz w:val="22"/>
        </w:rPr>
      </w:pPr>
      <w:r>
        <w:rPr>
          <w:rFonts w:ascii="Arial" w:hAnsi="Arial" w:cs="Arial"/>
          <w:color w:val="002060"/>
          <w:sz w:val="22"/>
        </w:rPr>
        <w:t>la prise en compte des impacts de la loi n° 2022-1616 du 23 décembre 2022 de financement de la sécurité sociale pour 2023 (1) et du décret n° 2023-825 du 25 août 2023 portant diverses dispositions relatives au congé de présence parentale et au congé de proche aidant;</w:t>
      </w:r>
    </w:p>
    <w:p>
      <w:pPr>
        <w:pStyle w:val="CORPSDETEXTEDICO"/>
        <w:numPr>
          <w:ilvl w:val="0"/>
          <w:numId w:val="4"/>
        </w:numPr>
        <w:spacing w:before="120"/>
        <w:rPr>
          <w:rFonts w:ascii="Arial" w:hAnsi="Arial" w:cs="Arial"/>
          <w:color w:val="002060"/>
          <w:sz w:val="22"/>
        </w:rPr>
      </w:pPr>
      <w:r>
        <w:rPr>
          <w:rFonts w:ascii="Arial" w:hAnsi="Arial" w:cs="Arial"/>
          <w:color w:val="002060"/>
          <w:sz w:val="22"/>
        </w:rPr>
        <w:t>la prise en compte des impacts de l’arrêté du 1er août 2023 relatif à la formation et à l'accompagnement personnalisé des agents publics;</w:t>
      </w:r>
    </w:p>
    <w:p>
      <w:pPr>
        <w:pStyle w:val="CORPSDETEXTEDICO"/>
        <w:numPr>
          <w:ilvl w:val="0"/>
          <w:numId w:val="4"/>
        </w:numPr>
        <w:spacing w:before="120"/>
        <w:rPr>
          <w:rFonts w:ascii="Arial" w:hAnsi="Arial" w:cs="Arial"/>
          <w:color w:val="002060"/>
          <w:sz w:val="22"/>
        </w:rPr>
      </w:pPr>
      <w:r>
        <w:rPr>
          <w:rFonts w:ascii="Arial" w:hAnsi="Arial" w:cs="Arial"/>
          <w:color w:val="002060"/>
          <w:sz w:val="22"/>
        </w:rPr>
        <w:t>la prise en compte des impacts l’article A34 bis (1°) du décret n°86-83 qui précise les conditions d’ancienneté requises pour bénéficier d’une autorisation de temps partiel de droit pour naissance ou adoption ainsi que l’évolution de l’article L1225-47 du code du travail, modifié par la loi 2023-171 du 9 mars 2023;</w:t>
      </w:r>
    </w:p>
    <w:p>
      <w:pPr>
        <w:pStyle w:val="CORPSDETEXTEDICO"/>
        <w:numPr>
          <w:ilvl w:val="0"/>
          <w:numId w:val="4"/>
        </w:numPr>
        <w:spacing w:before="120"/>
        <w:rPr>
          <w:rFonts w:ascii="Arial" w:hAnsi="Arial" w:cs="Arial"/>
          <w:color w:val="002060"/>
          <w:sz w:val="22"/>
        </w:rPr>
      </w:pPr>
      <w:r>
        <w:rPr>
          <w:rFonts w:ascii="Arial" w:hAnsi="Arial" w:cs="Arial"/>
          <w:color w:val="002060"/>
          <w:sz w:val="22"/>
        </w:rPr>
        <w:t>la mise en qualité de la modélisation de la bibliothèque des actes (BDA) et de la documentation associée (actes documentaires et guides) ;</w:t>
      </w:r>
    </w:p>
    <w:p>
      <w:pPr>
        <w:pStyle w:val="CORPSDETEXTEDICO"/>
        <w:numPr>
          <w:ilvl w:val="0"/>
          <w:numId w:val="4"/>
        </w:numPr>
        <w:spacing w:before="120"/>
        <w:rPr>
          <w:rFonts w:ascii="Arial" w:hAnsi="Arial" w:cs="Arial"/>
          <w:color w:val="002060"/>
          <w:sz w:val="22"/>
        </w:rPr>
      </w:pPr>
      <w:r>
        <w:rPr>
          <w:rFonts w:ascii="Arial" w:hAnsi="Arial" w:cs="Arial"/>
          <w:color w:val="002060"/>
          <w:sz w:val="22"/>
        </w:rPr>
        <w:t>la mise à jour des tableaux RGRH et du référentiel des évènements ;</w:t>
      </w:r>
    </w:p>
    <w:p>
      <w:pPr>
        <w:pStyle w:val="CORPSDETEXTEDICO"/>
        <w:numPr>
          <w:ilvl w:val="0"/>
          <w:numId w:val="4"/>
        </w:numPr>
        <w:spacing w:after="120"/>
        <w:rPr>
          <w:rFonts w:ascii="Arial" w:hAnsi="Arial" w:cs="Arial"/>
          <w:color w:val="002060"/>
          <w:sz w:val="22"/>
        </w:rPr>
      </w:pPr>
      <w:r>
        <w:rPr>
          <w:rFonts w:ascii="Arial" w:hAnsi="Arial" w:cs="Arial"/>
          <w:color w:val="002060"/>
          <w:sz w:val="22"/>
        </w:rPr>
        <w:t>la mise à jour de la documentation métier dans le répertoire « 8-Informations complémentaires », notamment :</w:t>
      </w:r>
    </w:p>
    <w:p>
      <w:pPr>
        <w:pStyle w:val="CORPSDETEXTEDICO"/>
        <w:numPr>
          <w:ilvl w:val="1"/>
          <w:numId w:val="4"/>
        </w:numPr>
        <w:spacing w:after="120"/>
        <w:rPr>
          <w:rFonts w:ascii="Arial" w:hAnsi="Arial" w:cs="Arial"/>
          <w:sz w:val="22"/>
        </w:rPr>
      </w:pPr>
      <w:r>
        <w:rPr>
          <w:rFonts w:ascii="Arial" w:hAnsi="Arial" w:cs="Arial"/>
          <w:sz w:val="22"/>
        </w:rPr>
        <w:t>la documentation des nomenclatures « Congés / Absences », « Modes d’accès au corps », « Modes d’accès au grade », « Modes d’accès à l’échelon », « Motifs de cessation de fonctions », « Positions / Situations administratives », « Sanctions » ;</w:t>
      </w:r>
    </w:p>
    <w:p>
      <w:pPr>
        <w:pStyle w:val="CORPSDETEXTEDICO"/>
        <w:spacing w:after="120"/>
        <w:ind w:left="1800"/>
        <w:rPr>
          <w:rFonts w:ascii="Arial" w:hAnsi="Arial" w:cs="Arial"/>
          <w:sz w:val="22"/>
        </w:rPr>
      </w:pPr>
      <w:r>
        <w:rPr>
          <w:rFonts w:ascii="Arial" w:hAnsi="Arial" w:cs="Arial"/>
          <w:sz w:val="22"/>
          <w:u w:val="single"/>
        </w:rPr>
        <w:t>Point d’attention</w:t>
      </w:r>
      <w:r>
        <w:rPr>
          <w:rFonts w:ascii="Arial" w:hAnsi="Arial" w:cs="Arial"/>
          <w:sz w:val="22"/>
        </w:rPr>
        <w:t> : le code général de la fonction publique n’a pas encore été pris en compte dans la documentation liée aux nomenclatures ;</w:t>
      </w:r>
    </w:p>
    <w:p>
      <w:pPr>
        <w:pStyle w:val="CORPSDETEXTEDICO"/>
        <w:numPr>
          <w:ilvl w:val="1"/>
          <w:numId w:val="4"/>
        </w:numPr>
        <w:spacing w:after="120"/>
        <w:rPr>
          <w:rFonts w:ascii="Arial" w:hAnsi="Arial" w:cs="Arial"/>
          <w:sz w:val="22"/>
        </w:rPr>
      </w:pPr>
      <w:r>
        <w:rPr>
          <w:rFonts w:ascii="Arial" w:hAnsi="Arial" w:cs="Arial"/>
          <w:sz w:val="22"/>
        </w:rPr>
        <w:t xml:space="preserve">les tables de correspondance avec les codes du FIP. </w:t>
      </w:r>
    </w:p>
    <w:p>
      <w:pPr>
        <w:pStyle w:val="CORPSDETEXTEDICO"/>
        <w:numPr>
          <w:ilvl w:val="1"/>
          <w:numId w:val="4"/>
        </w:numPr>
        <w:spacing w:after="120"/>
        <w:rPr>
          <w:rFonts w:ascii="Arial" w:hAnsi="Arial" w:cs="Arial"/>
          <w:sz w:val="22"/>
        </w:rPr>
      </w:pPr>
      <w:r>
        <w:rPr>
          <w:rFonts w:ascii="Arial" w:hAnsi="Arial" w:cs="Arial"/>
          <w:sz w:val="22"/>
        </w:rPr>
        <w:t>la matrice des modes de gestion et de rémunération des agents contractuels</w:t>
      </w:r>
    </w:p>
    <w:p>
      <w:pPr>
        <w:pStyle w:val="CORPSDETEXTEDICO"/>
        <w:spacing w:after="120"/>
        <w:ind w:left="1800"/>
        <w:rPr>
          <w:rFonts w:ascii="Arial" w:hAnsi="Arial" w:cs="Arial"/>
          <w:sz w:val="22"/>
        </w:rPr>
      </w:pPr>
    </w:p>
    <w:p>
      <w:pPr>
        <w:pStyle w:val="CORPSDETEXTEDICO"/>
        <w:spacing w:after="120"/>
        <w:ind w:left="360"/>
        <w:rPr>
          <w:rFonts w:ascii="Arial" w:hAnsi="Arial" w:cs="Arial"/>
          <w:b/>
          <w:sz w:val="22"/>
        </w:rPr>
      </w:pPr>
      <w:r>
        <w:rPr>
          <w:rFonts w:ascii="Arial" w:hAnsi="Arial" w:cs="Arial"/>
          <w:b/>
          <w:sz w:val="22"/>
        </w:rPr>
        <w:t>Le CISIRH met aussi à la disposition des ministères :</w:t>
      </w:r>
    </w:p>
    <w:p>
      <w:pPr>
        <w:pStyle w:val="CORPSDETEXTEDICO"/>
        <w:numPr>
          <w:ilvl w:val="0"/>
          <w:numId w:val="4"/>
        </w:numPr>
        <w:spacing w:after="120"/>
        <w:rPr>
          <w:rFonts w:ascii="Arial" w:hAnsi="Arial" w:cs="Arial"/>
          <w:color w:val="002060"/>
          <w:sz w:val="22"/>
        </w:rPr>
      </w:pPr>
      <w:r>
        <w:rPr>
          <w:rFonts w:ascii="Arial" w:hAnsi="Arial" w:cs="Arial"/>
          <w:color w:val="002060"/>
          <w:sz w:val="22"/>
        </w:rPr>
        <w:t>les mises à jour des Référentiels de Classification Centraux (RCC) réalisées depuis la diffusion de la version d’actualisation 23.00.06 du Noyau RH FPE ;</w:t>
      </w:r>
    </w:p>
    <w:p>
      <w:pPr>
        <w:pStyle w:val="CORPSDETEXTEDICO"/>
        <w:numPr>
          <w:ilvl w:val="0"/>
          <w:numId w:val="4"/>
        </w:numPr>
        <w:spacing w:after="120"/>
        <w:rPr>
          <w:rFonts w:ascii="Arial" w:hAnsi="Arial" w:cs="Arial"/>
          <w:color w:val="002060"/>
          <w:sz w:val="22"/>
        </w:rPr>
      </w:pPr>
      <w:r>
        <w:rPr>
          <w:rFonts w:ascii="Arial" w:hAnsi="Arial" w:cs="Arial"/>
          <w:color w:val="002060"/>
          <w:sz w:val="22"/>
        </w:rPr>
        <w:t>le référentiel des textes ;</w:t>
      </w:r>
    </w:p>
    <w:p>
      <w:pPr>
        <w:rPr>
          <w:rFonts w:ascii="Arial" w:hAnsi="Arial" w:cs="Arial"/>
          <w:i/>
          <w:sz w:val="24"/>
        </w:rPr>
      </w:pPr>
      <w:r>
        <w:br w:type="page"/>
      </w:r>
    </w:p>
    <w:p>
      <w:pPr>
        <w:pStyle w:val="Titre2"/>
      </w:pPr>
      <w:bookmarkStart w:id="6" w:name="_Toc157084289"/>
      <w:r>
        <w:lastRenderedPageBreak/>
        <w:t>Versions d’actualisation</w:t>
      </w:r>
      <w:bookmarkEnd w:id="5"/>
      <w:bookmarkEnd w:id="6"/>
    </w:p>
    <w:p>
      <w:pPr>
        <w:pStyle w:val="CORPSDETEXTEDICO"/>
        <w:spacing w:before="120" w:after="120"/>
        <w:ind w:left="360"/>
        <w:rPr>
          <w:rFonts w:ascii="Arial" w:hAnsi="Arial" w:cs="Arial"/>
          <w:sz w:val="22"/>
        </w:rPr>
      </w:pPr>
    </w:p>
    <w:p>
      <w:pPr>
        <w:pStyle w:val="CORPSDETEXTEDICO"/>
        <w:spacing w:before="120" w:after="120"/>
        <w:ind w:left="360"/>
        <w:rPr>
          <w:rFonts w:ascii="Arial" w:hAnsi="Arial" w:cs="Arial"/>
          <w:sz w:val="22"/>
        </w:rPr>
      </w:pPr>
      <w:r>
        <w:rPr>
          <w:rFonts w:ascii="Arial" w:hAnsi="Arial" w:cs="Arial"/>
          <w:sz w:val="22"/>
        </w:rPr>
        <w:t>Pour rappel, des actualisations du Noyau ont été diffusées entre la version structurante V23.00.00 et la version intermédiaire V23.10.00. Il s’agit des versions d’actualisation V23.00.01 à V23.00.06. Ces diffusions concernaient des mises à jour de nomenclatures et le cas échéant de leur documentation associée. Le tableau ci-dessous synthétise ces trois diffusions d’actualisation :</w:t>
      </w:r>
    </w:p>
    <w:p>
      <w:pPr>
        <w:spacing w:after="200" w:line="276" w:lineRule="auto"/>
        <w:jc w:val="right"/>
        <w:rPr>
          <w:iCs/>
          <w:sz w:val="20"/>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1"/>
        <w:gridCol w:w="3119"/>
        <w:gridCol w:w="3260"/>
      </w:tblGrid>
      <w:tr>
        <w:trPr>
          <w:trHeight w:val="580"/>
          <w:tblHeader/>
        </w:trPr>
        <w:tc>
          <w:tcPr>
            <w:tcW w:w="1134" w:type="dxa"/>
            <w:shd w:val="clear" w:color="auto" w:fill="244061"/>
            <w:vAlign w:val="center"/>
          </w:tcPr>
          <w:p>
            <w:pPr>
              <w:spacing w:after="0"/>
              <w:jc w:val="center"/>
              <w:rPr>
                <w:rFonts w:ascii="Arial" w:hAnsi="Arial" w:cs="Arial"/>
                <w:b/>
                <w:iCs/>
                <w:color w:val="FFFFFF"/>
                <w:sz w:val="18"/>
                <w:szCs w:val="18"/>
              </w:rPr>
            </w:pPr>
            <w:r>
              <w:rPr>
                <w:rFonts w:ascii="Arial" w:hAnsi="Arial" w:cs="Arial"/>
                <w:b/>
                <w:iCs/>
                <w:color w:val="FFFFFF"/>
                <w:sz w:val="18"/>
                <w:szCs w:val="18"/>
              </w:rPr>
              <w:t>Version Noyau</w:t>
            </w:r>
          </w:p>
        </w:tc>
        <w:tc>
          <w:tcPr>
            <w:tcW w:w="1134" w:type="dxa"/>
            <w:shd w:val="clear" w:color="auto" w:fill="244061"/>
            <w:vAlign w:val="center"/>
          </w:tcPr>
          <w:p>
            <w:pPr>
              <w:spacing w:after="0"/>
              <w:jc w:val="center"/>
              <w:rPr>
                <w:rFonts w:ascii="Arial" w:hAnsi="Arial" w:cs="Arial"/>
                <w:b/>
                <w:iCs/>
                <w:color w:val="FFFFFF"/>
                <w:sz w:val="18"/>
                <w:szCs w:val="18"/>
              </w:rPr>
            </w:pPr>
            <w:r>
              <w:rPr>
                <w:rFonts w:ascii="Arial" w:hAnsi="Arial" w:cs="Arial"/>
                <w:b/>
                <w:iCs/>
                <w:color w:val="FFFFFF"/>
                <w:sz w:val="18"/>
                <w:szCs w:val="18"/>
              </w:rPr>
              <w:t>Date de diffusion</w:t>
            </w:r>
          </w:p>
        </w:tc>
        <w:tc>
          <w:tcPr>
            <w:tcW w:w="1701" w:type="dxa"/>
            <w:shd w:val="clear" w:color="auto" w:fill="244061"/>
            <w:vAlign w:val="center"/>
          </w:tcPr>
          <w:p>
            <w:pPr>
              <w:spacing w:after="0"/>
              <w:jc w:val="center"/>
              <w:rPr>
                <w:rFonts w:ascii="Arial" w:hAnsi="Arial" w:cs="Arial"/>
                <w:b/>
                <w:iCs/>
                <w:color w:val="FFFFFF"/>
                <w:sz w:val="18"/>
                <w:szCs w:val="18"/>
              </w:rPr>
            </w:pPr>
            <w:r>
              <w:rPr>
                <w:rFonts w:ascii="Arial" w:hAnsi="Arial" w:cs="Arial"/>
                <w:b/>
                <w:iCs/>
                <w:color w:val="FFFFFF"/>
                <w:sz w:val="18"/>
                <w:szCs w:val="18"/>
              </w:rPr>
              <w:t>Thématique</w:t>
            </w:r>
          </w:p>
        </w:tc>
        <w:tc>
          <w:tcPr>
            <w:tcW w:w="3119" w:type="dxa"/>
            <w:shd w:val="clear" w:color="auto" w:fill="244061"/>
            <w:vAlign w:val="center"/>
          </w:tcPr>
          <w:p>
            <w:pPr>
              <w:spacing w:after="0"/>
              <w:jc w:val="center"/>
              <w:rPr>
                <w:rFonts w:ascii="Arial" w:hAnsi="Arial" w:cs="Arial"/>
                <w:b/>
                <w:iCs/>
                <w:color w:val="FFFFFF"/>
                <w:sz w:val="18"/>
                <w:szCs w:val="18"/>
              </w:rPr>
            </w:pPr>
            <w:r>
              <w:rPr>
                <w:rFonts w:ascii="Arial" w:hAnsi="Arial" w:cs="Arial"/>
                <w:b/>
                <w:iCs/>
                <w:color w:val="FFFFFF"/>
                <w:sz w:val="18"/>
                <w:szCs w:val="18"/>
              </w:rPr>
              <w:t>Nomenclatures</w:t>
            </w:r>
          </w:p>
        </w:tc>
        <w:tc>
          <w:tcPr>
            <w:tcW w:w="3260" w:type="dxa"/>
            <w:shd w:val="clear" w:color="auto" w:fill="244061"/>
            <w:vAlign w:val="center"/>
          </w:tcPr>
          <w:p>
            <w:pPr>
              <w:spacing w:after="0"/>
              <w:jc w:val="center"/>
              <w:rPr>
                <w:rFonts w:ascii="Arial" w:hAnsi="Arial" w:cs="Arial"/>
                <w:b/>
                <w:iCs/>
                <w:color w:val="FFFFFF"/>
                <w:sz w:val="18"/>
                <w:szCs w:val="18"/>
              </w:rPr>
            </w:pPr>
            <w:r>
              <w:rPr>
                <w:rFonts w:ascii="Arial" w:hAnsi="Arial" w:cs="Arial"/>
                <w:b/>
                <w:iCs/>
                <w:color w:val="FFFFFF"/>
                <w:sz w:val="18"/>
                <w:szCs w:val="18"/>
              </w:rPr>
              <w:t>Documentation</w:t>
            </w:r>
          </w:p>
        </w:tc>
      </w:tr>
      <w:tr>
        <w:trPr>
          <w:trHeight w:val="502"/>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V23.00.01</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27/07/2023</w:t>
            </w:r>
          </w:p>
        </w:tc>
        <w:tc>
          <w:tcPr>
            <w:tcW w:w="1701" w:type="dxa"/>
            <w:shd w:val="clear" w:color="auto" w:fill="auto"/>
            <w:vAlign w:val="center"/>
          </w:tcPr>
          <w:p>
            <w:pPr>
              <w:spacing w:after="0"/>
              <w:rPr>
                <w:rFonts w:ascii="Arial" w:hAnsi="Arial" w:cs="Arial"/>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RCC</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TEXTE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VAL_POINT_FPE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CARQ_US_HERITABLE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CENTRE_COUT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CENTRE_FINANCIER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COMPTE_PCE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DOMAINE_FCTL_PASA</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BG_ANNEXE14_ET_15</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BG_CODE_BJ</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BG_CODE_TAUX</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BG_PABA22</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BG_TABLIND</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BG_INCOMPATIBLE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GEST BG_MUTUELLE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HEXAPOSTE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TABANK_SEPA</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LOCALISATION_INTE</w:t>
            </w:r>
          </w:p>
          <w:p>
            <w:pPr>
              <w:spacing w:after="0" w:line="240" w:lineRule="auto"/>
              <w:rPr>
                <w:rFonts w:ascii="Arial" w:hAnsi="Arial" w:cs="Arial"/>
                <w:sz w:val="18"/>
                <w:szCs w:val="18"/>
              </w:rPr>
            </w:pPr>
          </w:p>
        </w:tc>
        <w:tc>
          <w:tcPr>
            <w:tcW w:w="3260" w:type="dxa"/>
            <w:shd w:val="clear" w:color="auto" w:fill="auto"/>
            <w:vAlign w:val="center"/>
          </w:tcPr>
          <w:p>
            <w:pPr>
              <w:pStyle w:val="Paragraphedeliste"/>
              <w:numPr>
                <w:ilvl w:val="0"/>
                <w:numId w:val="31"/>
              </w:numPr>
              <w:spacing w:after="0" w:line="240" w:lineRule="auto"/>
              <w:ind w:left="181" w:hanging="170"/>
              <w:rPr>
                <w:rFonts w:ascii="Arial" w:hAnsi="Arial" w:cs="Arial"/>
                <w:sz w:val="18"/>
                <w:szCs w:val="18"/>
              </w:rPr>
            </w:pPr>
            <w:r>
              <w:rPr>
                <w:rFonts w:ascii="Arial" w:hAnsi="Arial" w:cs="Arial"/>
                <w:sz w:val="18"/>
                <w:szCs w:val="18"/>
              </w:rPr>
              <w:t>Les FIME 2023-29 « Mise à jour fichier GEST », 2023-31 « Maj référentiel point FPE » et 2023-35 « Diverses mises à jour nomenclatures n°7 »</w:t>
            </w:r>
          </w:p>
        </w:tc>
      </w:tr>
      <w:tr>
        <w:trPr>
          <w:trHeight w:val="292"/>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V23.00.02</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04/09/2023</w:t>
            </w:r>
          </w:p>
        </w:tc>
        <w:tc>
          <w:tcPr>
            <w:tcW w:w="1701" w:type="dxa"/>
            <w:shd w:val="clear" w:color="auto" w:fill="auto"/>
            <w:vAlign w:val="center"/>
          </w:tcPr>
          <w:p>
            <w:pPr>
              <w:spacing w:after="0"/>
              <w:rPr>
                <w:rFonts w:ascii="Arial" w:hAnsi="Arial" w:cs="Arial"/>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ACTIVITE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TEXTE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MOT_PRLG_ACT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LOC_ETRANGER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CENTRE_COUT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DOMAINE_FCTL_PASA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GEST BG_ANNEXE14_ET_15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BG_CODE_BJ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BG_CODE_TAUX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BG_PABA22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BG_FICHIER_DE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BG_HJV</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BG_STATUTAIRE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BG_TABLIND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HEXAPOSTE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TABANK_SEPA</w:t>
            </w:r>
          </w:p>
        </w:tc>
        <w:tc>
          <w:tcPr>
            <w:tcW w:w="3260" w:type="dxa"/>
            <w:shd w:val="clear" w:color="auto" w:fill="auto"/>
            <w:vAlign w:val="center"/>
          </w:tcPr>
          <w:p>
            <w:pPr>
              <w:pStyle w:val="Paragraphedeliste"/>
              <w:numPr>
                <w:ilvl w:val="0"/>
                <w:numId w:val="31"/>
              </w:numPr>
              <w:spacing w:after="0" w:line="240" w:lineRule="auto"/>
              <w:ind w:left="181" w:hanging="170"/>
              <w:rPr>
                <w:rFonts w:ascii="Arial" w:hAnsi="Arial" w:cs="Arial"/>
                <w:sz w:val="18"/>
                <w:szCs w:val="18"/>
              </w:rPr>
            </w:pPr>
            <w:r>
              <w:rPr>
                <w:rFonts w:ascii="Arial" w:hAnsi="Arial" w:cs="Arial"/>
                <w:sz w:val="18"/>
                <w:szCs w:val="18"/>
              </w:rPr>
              <w:t>Les FIME 2023-37 « Mise à jour fichier GEST » et 2023-42 « Diverses mises à jour nomenclatures n°8 »</w:t>
            </w:r>
          </w:p>
        </w:tc>
      </w:tr>
      <w:tr>
        <w:trPr>
          <w:trHeight w:val="337"/>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V23.00.03</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28/09/2023</w:t>
            </w:r>
          </w:p>
        </w:tc>
        <w:tc>
          <w:tcPr>
            <w:tcW w:w="1701" w:type="dxa"/>
            <w:shd w:val="clear" w:color="auto" w:fill="auto"/>
            <w:vAlign w:val="center"/>
          </w:tcPr>
          <w:p>
            <w:pPr>
              <w:spacing w:after="0"/>
              <w:rPr>
                <w:rFonts w:ascii="Arial" w:hAnsi="Arial" w:cs="Arial"/>
                <w:iCs/>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RCC</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TEXTE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MOT_PRLG_ACT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lastRenderedPageBreak/>
              <w:t>LOC_ETRANGER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HEL</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CENTRE_COUT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CENTRE_FINANCIER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CENTRE_PROFIT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COMPTE_PCE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BG_ANNEXE14_ET_15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BG_CODE_BJ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BG_CODE_SS</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BG_IFS</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BG_STATUTAIRE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TABANK_SEPA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HEXAPOSTE</w:t>
            </w:r>
          </w:p>
        </w:tc>
        <w:tc>
          <w:tcPr>
            <w:tcW w:w="3260" w:type="dxa"/>
            <w:shd w:val="clear" w:color="auto" w:fill="auto"/>
            <w:vAlign w:val="center"/>
          </w:tcPr>
          <w:p>
            <w:pPr>
              <w:pStyle w:val="Paragraphedeliste"/>
              <w:numPr>
                <w:ilvl w:val="0"/>
                <w:numId w:val="31"/>
              </w:numPr>
              <w:spacing w:line="240" w:lineRule="auto"/>
              <w:ind w:left="181" w:hanging="170"/>
              <w:rPr>
                <w:rFonts w:ascii="Arial" w:hAnsi="Arial" w:cs="Arial"/>
                <w:sz w:val="18"/>
                <w:szCs w:val="18"/>
              </w:rPr>
            </w:pPr>
            <w:r>
              <w:rPr>
                <w:rFonts w:ascii="Arial" w:hAnsi="Arial" w:cs="Arial"/>
                <w:sz w:val="18"/>
                <w:szCs w:val="18"/>
              </w:rPr>
              <w:lastRenderedPageBreak/>
              <w:t>Les FIME 2023-49 « Mise à jour fichier GEST » et 2023-46 « Diverses mises à jour nomenclatures n°9 »</w:t>
            </w:r>
          </w:p>
        </w:tc>
      </w:tr>
      <w:tr>
        <w:trPr>
          <w:trHeight w:val="337"/>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V23.00.04</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06/11/2023</w:t>
            </w:r>
          </w:p>
        </w:tc>
        <w:tc>
          <w:tcPr>
            <w:tcW w:w="1701" w:type="dxa"/>
            <w:shd w:val="clear" w:color="auto" w:fill="auto"/>
            <w:vAlign w:val="center"/>
          </w:tcPr>
          <w:p>
            <w:pPr>
              <w:spacing w:after="0"/>
              <w:rPr>
                <w:rFonts w:ascii="Arial" w:hAnsi="Arial" w:cs="Arial"/>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RCC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ACTIVITE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TEXTE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CONGE_ABSENCE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MOT_PRLG_ACT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INDICE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CENTRE_COUT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CENTRE_FINANCIER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CENTRE_PROFIT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DOMAINE_FCTL_PASA</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BG_ANNEXE14_ET_15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BG_CODE_BJ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BG_CODE_TAUX</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BG_FICHIER_DE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BG_IFS</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BG_PABA22</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BG_PROFIL_COTISANT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BG_REMUNERATION</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BG_STATUTAIRE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BG_TABLIND</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BG_ZONE_RESID</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DSN_MOT_DISPENSE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TABANK_SEPA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HEXAPOSTE</w:t>
            </w:r>
          </w:p>
          <w:p>
            <w:pPr>
              <w:pStyle w:val="Paragraphedeliste"/>
              <w:spacing w:after="0" w:line="240" w:lineRule="auto"/>
              <w:ind w:left="68"/>
              <w:rPr>
                <w:rFonts w:ascii="Arial" w:hAnsi="Arial" w:cs="Arial"/>
                <w:sz w:val="18"/>
                <w:szCs w:val="18"/>
              </w:rPr>
            </w:pPr>
          </w:p>
        </w:tc>
        <w:tc>
          <w:tcPr>
            <w:tcW w:w="3260" w:type="dxa"/>
            <w:shd w:val="clear" w:color="auto" w:fill="auto"/>
            <w:vAlign w:val="center"/>
          </w:tcPr>
          <w:p>
            <w:pPr>
              <w:pStyle w:val="Paragraphedeliste"/>
              <w:numPr>
                <w:ilvl w:val="0"/>
                <w:numId w:val="31"/>
              </w:numPr>
              <w:spacing w:after="0" w:line="240" w:lineRule="auto"/>
              <w:ind w:left="181" w:hanging="170"/>
              <w:rPr>
                <w:rFonts w:ascii="Arial" w:hAnsi="Arial" w:cs="Arial"/>
                <w:sz w:val="18"/>
                <w:szCs w:val="18"/>
              </w:rPr>
            </w:pPr>
            <w:r>
              <w:rPr>
                <w:rFonts w:ascii="Arial" w:hAnsi="Arial" w:cs="Arial"/>
                <w:sz w:val="18"/>
                <w:szCs w:val="18"/>
              </w:rPr>
              <w:t>Les FIME 2023-56 « Diverses mises à jour nomenclatures n°10 » et 2023-59 « Diverses mises à jour nomenclatures n°11 »</w:t>
            </w:r>
          </w:p>
        </w:tc>
      </w:tr>
      <w:tr>
        <w:trPr>
          <w:trHeight w:val="337"/>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V23.00.05</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04/12/2023</w:t>
            </w:r>
          </w:p>
        </w:tc>
        <w:tc>
          <w:tcPr>
            <w:tcW w:w="1701" w:type="dxa"/>
            <w:shd w:val="clear" w:color="auto" w:fill="auto"/>
            <w:vAlign w:val="center"/>
          </w:tcPr>
          <w:p>
            <w:pPr>
              <w:spacing w:after="0"/>
              <w:rPr>
                <w:rFonts w:ascii="Arial" w:hAnsi="Arial" w:cs="Arial"/>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RCC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ACTIVITE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TEXTE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CAUSE_AFCT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CENTRE_COUT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CENTRE_FINANCIER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COMPTE_PCE DOMAINE_FCTL_PASA</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BG_ANNEXE14_ET_15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BG_CODE_BJ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BG_CODE_TAUX</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BG_FICHIER_DE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BG_PABA22</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BG_STATUTAIRE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BG_TABLIND</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lastRenderedPageBreak/>
              <w:t xml:space="preserve">TABANK_SEPA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HEXAPOSTE</w:t>
            </w:r>
          </w:p>
          <w:p>
            <w:pPr>
              <w:pStyle w:val="Paragraphedeliste"/>
              <w:spacing w:after="0" w:line="240" w:lineRule="auto"/>
              <w:ind w:left="68"/>
              <w:rPr>
                <w:rFonts w:ascii="Arial" w:hAnsi="Arial" w:cs="Arial"/>
                <w:sz w:val="18"/>
                <w:szCs w:val="18"/>
              </w:rPr>
            </w:pPr>
          </w:p>
        </w:tc>
        <w:tc>
          <w:tcPr>
            <w:tcW w:w="3260" w:type="dxa"/>
            <w:shd w:val="clear" w:color="auto" w:fill="auto"/>
            <w:vAlign w:val="center"/>
          </w:tcPr>
          <w:p>
            <w:pPr>
              <w:pStyle w:val="Paragraphedeliste"/>
              <w:numPr>
                <w:ilvl w:val="0"/>
                <w:numId w:val="31"/>
              </w:numPr>
              <w:spacing w:after="0" w:line="240" w:lineRule="auto"/>
              <w:ind w:left="181" w:hanging="170"/>
              <w:rPr>
                <w:rFonts w:ascii="Arial" w:hAnsi="Arial" w:cs="Arial"/>
                <w:sz w:val="18"/>
                <w:szCs w:val="18"/>
              </w:rPr>
            </w:pPr>
            <w:r>
              <w:rPr>
                <w:rFonts w:ascii="Arial" w:hAnsi="Arial" w:cs="Arial"/>
                <w:sz w:val="18"/>
                <w:szCs w:val="18"/>
              </w:rPr>
              <w:lastRenderedPageBreak/>
              <w:t>Les FIME 2023-60 « Diverses mises à jour nomenclatures n°12 », 2023-62 « Mise à jour fichier GEST » et 2023-55 « Mise à jour fichier GEST ».</w:t>
            </w:r>
          </w:p>
        </w:tc>
      </w:tr>
      <w:tr>
        <w:trPr>
          <w:trHeight w:val="337"/>
        </w:trPr>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V23.00.06</w:t>
            </w:r>
          </w:p>
        </w:tc>
        <w:tc>
          <w:tcPr>
            <w:tcW w:w="1134" w:type="dxa"/>
            <w:shd w:val="clear" w:color="auto" w:fill="auto"/>
            <w:vAlign w:val="center"/>
          </w:tcPr>
          <w:p>
            <w:pPr>
              <w:spacing w:after="0"/>
              <w:jc w:val="center"/>
              <w:rPr>
                <w:rFonts w:ascii="Arial" w:hAnsi="Arial" w:cs="Arial"/>
                <w:iCs/>
                <w:sz w:val="18"/>
                <w:szCs w:val="18"/>
              </w:rPr>
            </w:pPr>
            <w:r>
              <w:rPr>
                <w:rFonts w:ascii="Arial" w:hAnsi="Arial" w:cs="Arial"/>
                <w:iCs/>
                <w:sz w:val="18"/>
                <w:szCs w:val="18"/>
              </w:rPr>
              <w:t>28/12/2023</w:t>
            </w:r>
          </w:p>
        </w:tc>
        <w:tc>
          <w:tcPr>
            <w:tcW w:w="1701" w:type="dxa"/>
            <w:shd w:val="clear" w:color="auto" w:fill="auto"/>
            <w:vAlign w:val="center"/>
          </w:tcPr>
          <w:p>
            <w:pPr>
              <w:spacing w:after="0"/>
              <w:rPr>
                <w:rFonts w:ascii="Arial" w:hAnsi="Arial" w:cs="Arial"/>
                <w:sz w:val="18"/>
                <w:szCs w:val="18"/>
              </w:rPr>
            </w:pPr>
            <w:r>
              <w:rPr>
                <w:rFonts w:ascii="Arial" w:hAnsi="Arial" w:cs="Arial"/>
                <w:sz w:val="18"/>
                <w:szCs w:val="18"/>
              </w:rPr>
              <w:t>Mise à jour des nomenclatures</w:t>
            </w:r>
          </w:p>
        </w:tc>
        <w:tc>
          <w:tcPr>
            <w:tcW w:w="3119" w:type="dxa"/>
            <w:shd w:val="clear" w:color="auto" w:fill="auto"/>
            <w:vAlign w:val="center"/>
          </w:tcPr>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RCC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ACTIVITE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MINISTERE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TEXTE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DIST_HONO</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INDICE (mise à jour technique)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ORNEMENT</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CENTRE_COUT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CENTRE_FINANCIER</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COMPTE_PCE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DOMAINE_FCTL_PASA</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BG_ANNEXES14_ET_15</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BG_CLA_COT_PREFON</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BG_CODE_BJ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BG_CODE_TAUX</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BG_MUTUELLE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BG_PABA22</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BG_TABLIND</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BG_ZONE_RESID (mise à jour technique)</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TABANK_SEPA </w:t>
            </w:r>
          </w:p>
          <w:p>
            <w:pPr>
              <w:pStyle w:val="Paragraphedeliste"/>
              <w:numPr>
                <w:ilvl w:val="0"/>
                <w:numId w:val="31"/>
              </w:numPr>
              <w:spacing w:after="0" w:line="240" w:lineRule="auto"/>
              <w:ind w:left="68" w:hanging="142"/>
              <w:rPr>
                <w:rFonts w:ascii="Arial" w:hAnsi="Arial" w:cs="Arial"/>
                <w:sz w:val="18"/>
                <w:szCs w:val="18"/>
              </w:rPr>
            </w:pPr>
            <w:r>
              <w:rPr>
                <w:rFonts w:ascii="Arial" w:hAnsi="Arial" w:cs="Arial"/>
                <w:sz w:val="18"/>
                <w:szCs w:val="18"/>
              </w:rPr>
              <w:t xml:space="preserve">HEXAPOSTE </w:t>
            </w:r>
          </w:p>
        </w:tc>
        <w:tc>
          <w:tcPr>
            <w:tcW w:w="3260" w:type="dxa"/>
            <w:shd w:val="clear" w:color="auto" w:fill="auto"/>
            <w:vAlign w:val="center"/>
          </w:tcPr>
          <w:p>
            <w:pPr>
              <w:pStyle w:val="Paragraphedeliste"/>
              <w:numPr>
                <w:ilvl w:val="0"/>
                <w:numId w:val="31"/>
              </w:numPr>
              <w:spacing w:after="0" w:line="240" w:lineRule="auto"/>
              <w:ind w:left="181" w:hanging="170"/>
              <w:rPr>
                <w:rFonts w:ascii="Arial" w:hAnsi="Arial" w:cs="Arial"/>
                <w:sz w:val="18"/>
                <w:szCs w:val="18"/>
              </w:rPr>
            </w:pPr>
            <w:r>
              <w:rPr>
                <w:rFonts w:ascii="Arial" w:hAnsi="Arial" w:cs="Arial"/>
                <w:sz w:val="18"/>
                <w:szCs w:val="18"/>
              </w:rPr>
              <w:t>Les FIME 2023-66 « Mise à jour fichier GEST » et 2023-65 « Diverses mises à jour nomenclatures n°13 »</w:t>
            </w:r>
          </w:p>
        </w:tc>
      </w:tr>
    </w:tbl>
    <w:p>
      <w:pPr>
        <w:pStyle w:val="CORPSDETEXTEDICO"/>
        <w:spacing w:before="120" w:after="120"/>
        <w:ind w:left="360"/>
        <w:rPr>
          <w:rFonts w:ascii="Arial" w:hAnsi="Arial" w:cs="Arial"/>
          <w:sz w:val="22"/>
        </w:rPr>
      </w:pPr>
      <w:bookmarkStart w:id="7" w:name="_Toc18679672"/>
    </w:p>
    <w:p>
      <w:pPr>
        <w:rPr>
          <w:rFonts w:ascii="Arial" w:hAnsi="Arial" w:cs="Arial"/>
          <w:i/>
          <w:sz w:val="24"/>
        </w:rPr>
      </w:pPr>
      <w:r>
        <w:br w:type="page"/>
      </w:r>
    </w:p>
    <w:p>
      <w:pPr>
        <w:pStyle w:val="Titre2"/>
      </w:pPr>
      <w:bookmarkStart w:id="8" w:name="_Toc157084290"/>
      <w:r>
        <w:lastRenderedPageBreak/>
        <w:t xml:space="preserve">Version intermédiaire </w:t>
      </w:r>
      <w:bookmarkEnd w:id="7"/>
      <w:r>
        <w:t>23.10.00</w:t>
      </w:r>
      <w:bookmarkEnd w:id="8"/>
    </w:p>
    <w:p>
      <w:pPr>
        <w:pStyle w:val="CORPSDETEXTEDICO"/>
        <w:spacing w:before="120" w:after="120"/>
        <w:ind w:left="360"/>
        <w:rPr>
          <w:rFonts w:ascii="Arial" w:hAnsi="Arial" w:cs="Arial"/>
          <w:sz w:val="22"/>
        </w:rPr>
      </w:pPr>
      <w:r>
        <w:rPr>
          <w:rFonts w:ascii="Arial" w:hAnsi="Arial" w:cs="Arial"/>
          <w:sz w:val="22"/>
        </w:rPr>
        <w:t>Les référentiels impactés par la diffusion de la version intermédiaire V23.10.00 ont évolué comme suit :</w:t>
      </w:r>
    </w:p>
    <w:p>
      <w:pPr>
        <w:pStyle w:val="CORPSDETEXTEDICO"/>
        <w:spacing w:before="120" w:after="120"/>
        <w:ind w:left="360"/>
        <w:rPr>
          <w:rFonts w:ascii="Arial" w:hAnsi="Arial" w:cs="Arial"/>
          <w:sz w:val="22"/>
        </w:rPr>
      </w:pPr>
    </w:p>
    <w:p>
      <w:pPr>
        <w:pStyle w:val="Titre3"/>
      </w:pPr>
      <w:bookmarkStart w:id="9" w:name="_Toc18679673"/>
      <w:bookmarkStart w:id="10" w:name="_Toc157084291"/>
      <w:r>
        <w:t>Dictionnaire des concepts (Nom du fichier : Dictionnaire des concepts_23.10.00.doc)</w:t>
      </w:r>
      <w:bookmarkEnd w:id="9"/>
      <w:bookmarkEnd w:id="10"/>
    </w:p>
    <w:p>
      <w:pPr>
        <w:pStyle w:val="CORPSDETEXTEDICO"/>
        <w:spacing w:after="120"/>
        <w:ind w:left="360"/>
        <w:rPr>
          <w:rFonts w:ascii="Arial" w:hAnsi="Arial" w:cs="Arial"/>
          <w:sz w:val="22"/>
        </w:rPr>
      </w:pPr>
      <w:bookmarkStart w:id="11" w:name="_Toc18679674"/>
      <w:r>
        <w:rPr>
          <w:rFonts w:ascii="Arial" w:hAnsi="Arial" w:cs="Arial"/>
          <w:sz w:val="22"/>
        </w:rPr>
        <w:t xml:space="preserve">Le Dictionnaire des concepts « Dictionnaire des concepts_23.10.00.doc » a été modifié pour la diffusion de la v23.10.00 afin de mettre à jour les références juridiques suivant le Code général de la fonction publique. </w:t>
      </w:r>
    </w:p>
    <w:p>
      <w:pPr>
        <w:rPr>
          <w:rFonts w:ascii="Arial" w:hAnsi="Arial" w:cs="Arial"/>
          <w:color w:val="0000FF"/>
        </w:rPr>
      </w:pPr>
    </w:p>
    <w:p>
      <w:pPr>
        <w:pStyle w:val="Titre3"/>
      </w:pPr>
      <w:bookmarkStart w:id="12" w:name="_Toc157084292"/>
      <w:r>
        <w:t>Dictionnaire des données (Nom du fichier : Dictionnaire des données_23.10.00.xls)</w:t>
      </w:r>
      <w:bookmarkEnd w:id="11"/>
      <w:bookmarkEnd w:id="12"/>
    </w:p>
    <w:p>
      <w:pPr>
        <w:pStyle w:val="CORPSDETEXTEDICO"/>
        <w:spacing w:before="120" w:after="120"/>
        <w:ind w:left="360"/>
        <w:rPr>
          <w:rFonts w:ascii="Arial" w:hAnsi="Arial" w:cs="Arial"/>
          <w:sz w:val="22"/>
        </w:rPr>
      </w:pPr>
      <w:r>
        <w:rPr>
          <w:rFonts w:ascii="Arial" w:hAnsi="Arial" w:cs="Arial"/>
          <w:sz w:val="22"/>
        </w:rPr>
        <w:t>Le DDD « Dictionnaire des données_23.00.00.xls » issu de l’extraction INGRES comporte les onglets « Dossier Personnel », « Dossier Administratif », « Dossier Financier » « Dossier Pension », « Dossier Déclaratif », « Dossier GEST », « Dossier FIP », « Dossier PSC », « Nomenclatures », « Référentiels ».</w:t>
      </w:r>
      <w:r>
        <w:rPr>
          <w:rFonts w:ascii="Arial" w:hAnsi="Arial" w:cs="Arial"/>
          <w:b/>
          <w:bCs/>
          <w:sz w:val="22"/>
        </w:rPr>
        <w:t xml:space="preserve"> </w:t>
      </w:r>
      <w:r>
        <w:rPr>
          <w:rFonts w:ascii="Arial" w:hAnsi="Arial" w:cs="Arial"/>
          <w:sz w:val="22"/>
        </w:rPr>
        <w:t xml:space="preserve">Le « Dossier Administratif » a été mis à jour. </w:t>
      </w:r>
    </w:p>
    <w:p>
      <w:pPr>
        <w:pStyle w:val="CORPSDETEXTEDICO"/>
        <w:spacing w:before="120" w:after="120"/>
        <w:ind w:left="360"/>
        <w:rPr>
          <w:rFonts w:ascii="Arial" w:hAnsi="Arial" w:cs="Arial"/>
          <w:sz w:val="22"/>
        </w:rPr>
      </w:pPr>
      <w:r>
        <w:rPr>
          <w:rFonts w:ascii="Arial" w:hAnsi="Arial" w:cs="Arial"/>
          <w:sz w:val="22"/>
        </w:rPr>
        <w:t>L’arborescence de chacun des dossiers du DDD en rubriques / sous-rubriques / groupes de données est décrite dans le rapport ZDRSRGDD qui est joint en annexe.</w:t>
      </w:r>
    </w:p>
    <w:p>
      <w:pPr>
        <w:pStyle w:val="CORPSDETEXTEDICO"/>
        <w:spacing w:after="120"/>
        <w:ind w:left="360"/>
        <w:rPr>
          <w:rFonts w:ascii="Arial" w:hAnsi="Arial" w:cs="Arial"/>
          <w:sz w:val="22"/>
        </w:rPr>
      </w:pPr>
    </w:p>
    <w:p>
      <w:pPr>
        <w:pStyle w:val="Titre3"/>
      </w:pPr>
      <w:bookmarkStart w:id="13" w:name="_Toc18679675"/>
      <w:bookmarkStart w:id="14" w:name="_Toc157084293"/>
      <w:r>
        <w:t>Répertoire des évènements</w:t>
      </w:r>
      <w:bookmarkEnd w:id="13"/>
      <w:bookmarkEnd w:id="14"/>
    </w:p>
    <w:p>
      <w:pPr>
        <w:pStyle w:val="CORPSDETEXTEDICO"/>
        <w:spacing w:before="120" w:after="120"/>
        <w:ind w:left="360"/>
        <w:rPr>
          <w:rFonts w:ascii="Arial" w:hAnsi="Arial" w:cs="Arial"/>
          <w:sz w:val="22"/>
        </w:rPr>
      </w:pPr>
      <w:r>
        <w:rPr>
          <w:rFonts w:ascii="Arial" w:hAnsi="Arial" w:cs="Arial"/>
          <w:sz w:val="22"/>
        </w:rPr>
        <w:t xml:space="preserve">Le référentiel des événements est alimenté avec les quatre nomenclatures Domaines, Sous-domaines, Evénements et Types d’événements. Ces informations sont accessibles depuis l’application INGRES dans le domaine « Informations complémentaires ». Ce référentiel peut aussi être consulté dans le répertoire « 3-Répertoire des évènements ». </w:t>
      </w:r>
    </w:p>
    <w:p>
      <w:pPr>
        <w:pStyle w:val="CORPSDETEXTEDICO"/>
        <w:spacing w:before="120" w:after="120"/>
        <w:ind w:left="360"/>
        <w:rPr>
          <w:rFonts w:ascii="Arial" w:hAnsi="Arial" w:cs="Arial"/>
          <w:sz w:val="22"/>
        </w:rPr>
      </w:pPr>
      <w:r>
        <w:rPr>
          <w:rFonts w:ascii="Arial" w:hAnsi="Arial" w:cs="Arial"/>
          <w:sz w:val="22"/>
        </w:rPr>
        <w:t>Ce référentiel a été modifié en version 23.10.00 suite à la prise en compte d’évolutions réglementaires (ex : la loi n° 2023-622 du 19 juillet 2023 visant à renforcer la protection des familles d'enfants atteints d'une maladie ou d'un handicap ou victimes d'un accident d'une particulière gravité), de mise en qualité (ex : mise en qualité des sanctions des personnels navigants régis par les décrets n° 2011-502, n° 2018-951 et n° 2018-952) ou de nouvelles thématiques (ex : Journée de solidarité).</w:t>
      </w:r>
    </w:p>
    <w:p>
      <w:pPr>
        <w:pStyle w:val="CORPSDETEXTEDICO"/>
        <w:spacing w:before="120" w:after="120"/>
        <w:ind w:left="360"/>
        <w:rPr>
          <w:rFonts w:ascii="Arial" w:hAnsi="Arial" w:cs="Arial"/>
          <w:sz w:val="22"/>
        </w:rPr>
      </w:pPr>
    </w:p>
    <w:p>
      <w:pPr>
        <w:pStyle w:val="Titre3"/>
      </w:pPr>
      <w:bookmarkStart w:id="15" w:name="_Toc18679676"/>
      <w:bookmarkStart w:id="16" w:name="_Toc157084294"/>
      <w:r>
        <w:t>Référentiel des règles de gestion</w:t>
      </w:r>
      <w:bookmarkEnd w:id="15"/>
      <w:bookmarkEnd w:id="16"/>
    </w:p>
    <w:p>
      <w:pPr>
        <w:pStyle w:val="CORPSDETEXTEDICO"/>
        <w:spacing w:before="120" w:after="120"/>
        <w:ind w:left="360"/>
        <w:rPr>
          <w:rFonts w:ascii="Arial" w:hAnsi="Arial" w:cs="Arial"/>
          <w:sz w:val="22"/>
        </w:rPr>
      </w:pPr>
      <w:r>
        <w:rPr>
          <w:rFonts w:ascii="Arial" w:hAnsi="Arial" w:cs="Arial"/>
          <w:sz w:val="22"/>
        </w:rPr>
        <w:t>Le référentiel des règles de gestion comprend, d’une part, les règles de gestion RH (sous-répertoire RGRH du répertoire « 4-Règles de gestion »), et d’autre part, les règles de gestion PAY (sous-répertoire RGPAY du répertoire « 4-Règles de gestion »).</w:t>
      </w:r>
    </w:p>
    <w:p>
      <w:pPr>
        <w:pStyle w:val="CORPSDETEXTEDICO"/>
        <w:spacing w:before="120" w:after="120"/>
        <w:ind w:left="360"/>
        <w:rPr>
          <w:rFonts w:ascii="Arial" w:hAnsi="Arial" w:cs="Arial"/>
          <w:sz w:val="22"/>
        </w:rPr>
      </w:pPr>
    </w:p>
    <w:p>
      <w:pPr>
        <w:pStyle w:val="CORPSDETEXTEDICO"/>
        <w:spacing w:before="120" w:after="120"/>
        <w:ind w:left="360"/>
        <w:rPr>
          <w:rFonts w:ascii="Arial" w:hAnsi="Arial" w:cs="Arial"/>
          <w:sz w:val="22"/>
        </w:rPr>
      </w:pPr>
      <w:r>
        <w:rPr>
          <w:rFonts w:ascii="Arial" w:hAnsi="Arial" w:cs="Arial"/>
          <w:b/>
          <w:sz w:val="22"/>
        </w:rPr>
        <w:t>Le référentiel des règles de gestion RH</w:t>
      </w:r>
      <w:r>
        <w:rPr>
          <w:rFonts w:ascii="Arial" w:hAnsi="Arial" w:cs="Arial"/>
          <w:sz w:val="22"/>
        </w:rPr>
        <w:t xml:space="preserve"> se décompose en deux sous-répertoires :</w:t>
      </w:r>
    </w:p>
    <w:p>
      <w:pPr>
        <w:pStyle w:val="CORPSDETEXTEDICO"/>
        <w:numPr>
          <w:ilvl w:val="0"/>
          <w:numId w:val="26"/>
        </w:numPr>
        <w:spacing w:before="120" w:after="120"/>
        <w:rPr>
          <w:rFonts w:ascii="Arial" w:hAnsi="Arial" w:cs="Arial"/>
          <w:sz w:val="22"/>
        </w:rPr>
      </w:pPr>
      <w:r>
        <w:rPr>
          <w:rFonts w:ascii="Arial" w:hAnsi="Arial" w:cs="Arial"/>
          <w:sz w:val="22"/>
        </w:rPr>
        <w:t>Ancien format : qui contient l’ensemble des tableaux de RGRH dans l’ancien format ;</w:t>
      </w:r>
    </w:p>
    <w:p>
      <w:pPr>
        <w:pStyle w:val="CORPSDETEXTEDICO"/>
        <w:spacing w:before="120" w:after="120"/>
        <w:ind w:left="1429"/>
        <w:rPr>
          <w:rFonts w:ascii="Arial" w:hAnsi="Arial" w:cs="Arial"/>
          <w:sz w:val="22"/>
        </w:rPr>
      </w:pPr>
      <w:r>
        <w:rPr>
          <w:rFonts w:ascii="Arial" w:hAnsi="Arial" w:cs="Arial"/>
          <w:sz w:val="22"/>
        </w:rPr>
        <w:lastRenderedPageBreak/>
        <w:t xml:space="preserve">Les tableaux RGRH « ancien format » qui ont été restructurés pour l’ensemble des populations ne sont plus diffusés. </w:t>
      </w:r>
    </w:p>
    <w:p>
      <w:pPr>
        <w:pStyle w:val="CORPSDETEXTEDICO"/>
        <w:numPr>
          <w:ilvl w:val="0"/>
          <w:numId w:val="26"/>
        </w:numPr>
        <w:spacing w:before="120" w:after="120"/>
        <w:rPr>
          <w:rFonts w:ascii="Arial" w:hAnsi="Arial" w:cs="Arial"/>
          <w:sz w:val="22"/>
        </w:rPr>
      </w:pPr>
      <w:r>
        <w:rPr>
          <w:rFonts w:ascii="Arial" w:hAnsi="Arial" w:cs="Arial"/>
          <w:sz w:val="22"/>
        </w:rPr>
        <w:t>Restructurées : qui contient l’ensemble des tableaux de RGRH restructurés au nouveau format. Les RGRH restructurées constituent la référence pour toutes les règles automatisées de contrôle, de condition, d’impact et de contrôle intellectuel. Ces informations sont accessibles depuis l’application INGRES dans le domaine « RGRH ».</w:t>
      </w:r>
    </w:p>
    <w:p>
      <w:pPr>
        <w:pStyle w:val="CORPSDETEXTEDICO"/>
        <w:spacing w:before="120" w:after="120"/>
        <w:ind w:left="360"/>
        <w:rPr>
          <w:rFonts w:ascii="Arial" w:hAnsi="Arial" w:cs="Arial"/>
          <w:sz w:val="22"/>
        </w:rPr>
      </w:pPr>
      <w:r>
        <w:rPr>
          <w:rFonts w:ascii="Arial" w:hAnsi="Arial" w:cs="Arial"/>
          <w:sz w:val="22"/>
        </w:rPr>
        <w:t>Ce référentiel est mis à jour et enrichi :</w:t>
      </w:r>
    </w:p>
    <w:p>
      <w:pPr>
        <w:pStyle w:val="CORPSDETEXTEDICO"/>
        <w:numPr>
          <w:ilvl w:val="0"/>
          <w:numId w:val="26"/>
        </w:numPr>
        <w:spacing w:before="120" w:after="120"/>
        <w:rPr>
          <w:rFonts w:ascii="Arial" w:hAnsi="Arial" w:cs="Arial"/>
          <w:sz w:val="22"/>
        </w:rPr>
      </w:pPr>
      <w:r>
        <w:rPr>
          <w:rFonts w:ascii="Arial" w:hAnsi="Arial" w:cs="Arial"/>
          <w:sz w:val="22"/>
        </w:rPr>
        <w:t>des tableaux de RGRH validés en atelier interministériel Noyau,</w:t>
      </w:r>
    </w:p>
    <w:p>
      <w:pPr>
        <w:pStyle w:val="CORPSDETEXTEDICO"/>
        <w:numPr>
          <w:ilvl w:val="0"/>
          <w:numId w:val="26"/>
        </w:numPr>
        <w:spacing w:before="120" w:after="120"/>
        <w:rPr>
          <w:rFonts w:ascii="Arial" w:hAnsi="Arial" w:cs="Arial"/>
          <w:sz w:val="22"/>
        </w:rPr>
      </w:pPr>
      <w:r>
        <w:rPr>
          <w:rFonts w:ascii="Arial" w:hAnsi="Arial" w:cs="Arial"/>
          <w:sz w:val="22"/>
        </w:rPr>
        <w:t>des tableaux de RGRH validés en bilatérale avec le ministère des Armées pour la population des militaires.</w:t>
      </w:r>
    </w:p>
    <w:p>
      <w:pPr>
        <w:pStyle w:val="CORPSDETEXTEDICO"/>
        <w:spacing w:before="120" w:after="120"/>
        <w:ind w:left="360"/>
        <w:rPr>
          <w:rFonts w:ascii="Arial" w:hAnsi="Arial" w:cs="Arial"/>
          <w:sz w:val="22"/>
        </w:rPr>
      </w:pPr>
      <w:r>
        <w:rPr>
          <w:rFonts w:ascii="Arial" w:hAnsi="Arial" w:cs="Arial"/>
          <w:sz w:val="22"/>
        </w:rPr>
        <w:t>Ce référentiel est accessible depuis l’application INGRES mais aussi en grande partie à partir de l’assistant virtuel proposé par le CISIRH : le chatbot Rebecca.</w:t>
      </w:r>
    </w:p>
    <w:p>
      <w:pPr>
        <w:pStyle w:val="CORPSDETEXTEDICO"/>
        <w:spacing w:before="120" w:after="120"/>
        <w:ind w:left="360"/>
        <w:rPr>
          <w:rFonts w:ascii="Arial" w:hAnsi="Arial" w:cs="Arial"/>
          <w:sz w:val="22"/>
        </w:rPr>
      </w:pPr>
    </w:p>
    <w:p>
      <w:pPr>
        <w:pStyle w:val="CORPSDETEXTEDICO"/>
        <w:spacing w:before="120" w:after="120"/>
        <w:ind w:left="360"/>
        <w:rPr>
          <w:rFonts w:ascii="Arial" w:hAnsi="Arial" w:cs="Arial"/>
          <w:sz w:val="22"/>
        </w:rPr>
      </w:pPr>
      <w:r>
        <w:rPr>
          <w:rFonts w:ascii="Arial" w:hAnsi="Arial" w:cs="Arial"/>
          <w:b/>
          <w:sz w:val="22"/>
        </w:rPr>
        <w:t>Le référentiel des règles de gestion PAY</w:t>
      </w:r>
      <w:r>
        <w:rPr>
          <w:rFonts w:ascii="Arial" w:hAnsi="Arial" w:cs="Arial"/>
          <w:sz w:val="22"/>
        </w:rPr>
        <w:t xml:space="preserve"> contient les règles de gestion relatives aux mouvements du fichier GEST 01, 02, 03, 05, 07, 20 et 22 (un sous-répertoire par mouvement). Il n’a pas été modifié depuis la publication de la version 22.00.00 du Noyau RH FPE.</w:t>
      </w:r>
    </w:p>
    <w:p>
      <w:pPr>
        <w:rPr>
          <w:rFonts w:ascii="Arial" w:hAnsi="Arial" w:cs="Arial"/>
          <w:color w:val="0000FF"/>
        </w:rPr>
      </w:pPr>
      <w:bookmarkStart w:id="17" w:name="_Toc18679677"/>
    </w:p>
    <w:p>
      <w:pPr>
        <w:pStyle w:val="Titre3"/>
      </w:pPr>
      <w:bookmarkStart w:id="18" w:name="_Toc157084295"/>
      <w:r>
        <w:t>Référentiel des fonctions</w:t>
      </w:r>
      <w:bookmarkEnd w:id="17"/>
      <w:bookmarkEnd w:id="18"/>
    </w:p>
    <w:p>
      <w:pPr>
        <w:pStyle w:val="CORPSDETEXTEDICO"/>
        <w:spacing w:after="120"/>
        <w:ind w:left="360"/>
        <w:rPr>
          <w:rFonts w:ascii="Arial" w:hAnsi="Arial" w:cs="Arial"/>
          <w:sz w:val="22"/>
        </w:rPr>
      </w:pPr>
      <w:r>
        <w:rPr>
          <w:rFonts w:ascii="Arial" w:hAnsi="Arial" w:cs="Arial"/>
          <w:sz w:val="22"/>
        </w:rPr>
        <w:t>Le référentiel des fonctions « Référentiel des fonctions_23.10.00.doc » n’a pas été modifié depuis la publication de la version 22.00.00 du Noyau RH FPE.</w:t>
      </w:r>
    </w:p>
    <w:p>
      <w:pPr>
        <w:pStyle w:val="CORPSDETEXTEDICO"/>
        <w:spacing w:after="120"/>
        <w:ind w:left="360"/>
        <w:rPr>
          <w:rFonts w:ascii="Arial" w:hAnsi="Arial" w:cs="Arial"/>
          <w:sz w:val="22"/>
        </w:rPr>
      </w:pPr>
    </w:p>
    <w:p>
      <w:pPr>
        <w:pStyle w:val="Titre3"/>
      </w:pPr>
      <w:bookmarkStart w:id="19" w:name="_Toc18679678"/>
      <w:bookmarkStart w:id="20" w:name="_Toc157084296"/>
      <w:r>
        <w:t>Référentiel technique</w:t>
      </w:r>
      <w:bookmarkEnd w:id="19"/>
      <w:bookmarkEnd w:id="20"/>
    </w:p>
    <w:p>
      <w:pPr>
        <w:pStyle w:val="CORPSDETEXTEDICO"/>
        <w:spacing w:before="120" w:after="120"/>
        <w:ind w:left="360"/>
        <w:rPr>
          <w:rFonts w:ascii="Arial" w:hAnsi="Arial" w:cs="Arial"/>
          <w:sz w:val="22"/>
        </w:rPr>
      </w:pPr>
      <w:r>
        <w:rPr>
          <w:rFonts w:ascii="Arial" w:hAnsi="Arial" w:cs="Arial"/>
          <w:sz w:val="22"/>
        </w:rPr>
        <w:t xml:space="preserve">Le référentiel technique est alimenté avec la spécification d’interface sortante et les fichiers XSD relatifs aux nomenclatures telles qu’elles sont diffusées aux SIRH par INGRES uniquement dans les trois versions 23.00.00, 22.00.00 et 21.00.00. </w:t>
      </w:r>
    </w:p>
    <w:p>
      <w:pPr>
        <w:pStyle w:val="CORPSDETEXTEDICO"/>
        <w:spacing w:before="120" w:after="120"/>
        <w:ind w:left="360"/>
        <w:rPr>
          <w:rFonts w:ascii="Arial" w:hAnsi="Arial" w:cs="Arial"/>
          <w:sz w:val="22"/>
        </w:rPr>
      </w:pPr>
    </w:p>
    <w:p>
      <w:pPr>
        <w:pStyle w:val="Titre3"/>
      </w:pPr>
      <w:bookmarkStart w:id="21" w:name="_Toc18679679"/>
      <w:bookmarkStart w:id="22" w:name="_Toc157084297"/>
      <w:r>
        <w:t>Fiches de maintenance</w:t>
      </w:r>
      <w:bookmarkEnd w:id="21"/>
      <w:bookmarkEnd w:id="22"/>
    </w:p>
    <w:p>
      <w:pPr>
        <w:pStyle w:val="CORPSDETEXTEDICO"/>
        <w:spacing w:before="120" w:after="120"/>
        <w:ind w:left="360"/>
        <w:rPr>
          <w:rFonts w:ascii="Arial" w:hAnsi="Arial" w:cs="Arial"/>
          <w:sz w:val="22"/>
        </w:rPr>
      </w:pPr>
      <w:r>
        <w:rPr>
          <w:rFonts w:ascii="Arial" w:hAnsi="Arial" w:cs="Arial"/>
          <w:sz w:val="22"/>
        </w:rPr>
        <w:t>L’ensemble des actions de maintenance recensées dans les 21 FIME de cette diffusion est synthétisé dans le fichier « Fiche de diffusion – Liste des FIME 23.10.00.xlsx » sous le répertoire « Noyau RH-FPE 23.10.00 ». Dans ce fichier sont aussi précisés les impacts structurants sur les SIRH et sur l’application INGRES.</w:t>
      </w:r>
    </w:p>
    <w:p>
      <w:pPr>
        <w:pStyle w:val="CORPSDETEXTEDICO"/>
        <w:spacing w:before="120" w:after="120"/>
        <w:ind w:left="360"/>
        <w:rPr>
          <w:rFonts w:ascii="Arial" w:hAnsi="Arial" w:cs="Arial"/>
          <w:sz w:val="22"/>
        </w:rPr>
      </w:pPr>
      <w:r>
        <w:rPr>
          <w:noProof/>
        </w:rPr>
        <w:drawing>
          <wp:anchor distT="0" distB="0" distL="114300" distR="114300" simplePos="0" relativeHeight="251722752" behindDoc="0" locked="0" layoutInCell="1" allowOverlap="1">
            <wp:simplePos x="0" y="0"/>
            <wp:positionH relativeFrom="leftMargin">
              <wp:posOffset>700184</wp:posOffset>
            </wp:positionH>
            <wp:positionV relativeFrom="paragraph">
              <wp:posOffset>5715</wp:posOffset>
            </wp:positionV>
            <wp:extent cx="276225" cy="352954"/>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 cy="35295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Pour rappel, depuis le 02/04/2021 et le lot n°10, l’espace collaboratif </w:t>
      </w:r>
      <w:r>
        <w:rPr>
          <w:rFonts w:ascii="Arial" w:hAnsi="Arial" w:cs="Arial"/>
          <w:i/>
          <w:sz w:val="22"/>
        </w:rPr>
        <w:t>hOPPER-FIME</w:t>
      </w:r>
      <w:r>
        <w:rPr>
          <w:rFonts w:ascii="Arial" w:hAnsi="Arial" w:cs="Arial"/>
          <w:sz w:val="22"/>
        </w:rPr>
        <w:t xml:space="preserve"> permet d’instruire les lots de FIME et de tableaux RGRH en mettant instantanément à la disposition de la communauté interministérielle l’ensemble des informations produites. </w:t>
      </w:r>
    </w:p>
    <w:p>
      <w:pPr>
        <w:pStyle w:val="CORPSDETEXTEDICO"/>
        <w:spacing w:before="120" w:after="120"/>
        <w:ind w:left="360"/>
        <w:rPr>
          <w:rFonts w:ascii="Arial" w:hAnsi="Arial" w:cs="Arial"/>
          <w:sz w:val="22"/>
        </w:rPr>
      </w:pPr>
    </w:p>
    <w:p>
      <w:pPr>
        <w:pStyle w:val="CORPSDETEXTEDICO"/>
        <w:spacing w:before="120" w:after="120"/>
        <w:ind w:firstLine="360"/>
        <w:rPr>
          <w:rFonts w:ascii="Arial" w:hAnsi="Arial" w:cs="Arial"/>
          <w:sz w:val="22"/>
        </w:rPr>
      </w:pPr>
      <w:r>
        <w:rPr>
          <w:rFonts w:ascii="Arial" w:hAnsi="Arial" w:cs="Arial"/>
          <w:noProof/>
          <w:sz w:val="22"/>
          <w:szCs w:val="22"/>
          <w:lang w:eastAsia="fr-FR"/>
        </w:rPr>
        <w:t>L</w:t>
      </w:r>
      <w:r>
        <w:rPr>
          <w:rFonts w:ascii="Arial" w:hAnsi="Arial" w:cs="Arial"/>
          <w:sz w:val="22"/>
          <w:szCs w:val="22"/>
        </w:rPr>
        <w:t>a liste des FIME concernées est la suivante</w:t>
      </w:r>
      <w:r>
        <w:rPr>
          <w:rFonts w:ascii="Arial" w:hAnsi="Arial" w:cs="Arial"/>
          <w:sz w:val="22"/>
        </w:rPr>
        <w:t> :</w:t>
      </w:r>
    </w:p>
    <w:p>
      <w:pPr>
        <w:pStyle w:val="Paragraphedeliste"/>
        <w:numPr>
          <w:ilvl w:val="0"/>
          <w:numId w:val="6"/>
        </w:numPr>
        <w:jc w:val="both"/>
        <w:rPr>
          <w:rFonts w:ascii="Arial" w:eastAsia="Times New Roman" w:hAnsi="Arial" w:cs="Arial"/>
          <w:lang w:eastAsia="ar-SA"/>
        </w:rPr>
      </w:pPr>
      <w:r>
        <w:rPr>
          <w:rFonts w:ascii="Arial" w:eastAsia="Times New Roman" w:hAnsi="Arial" w:cs="Arial"/>
          <w:lang w:eastAsia="ar-SA"/>
        </w:rPr>
        <w:lastRenderedPageBreak/>
        <w:t xml:space="preserve">La </w:t>
      </w:r>
      <w:r>
        <w:rPr>
          <w:rFonts w:ascii="Arial" w:eastAsia="Times New Roman" w:hAnsi="Arial" w:cs="Arial"/>
          <w:b/>
          <w:lang w:eastAsia="ar-SA"/>
        </w:rPr>
        <w:t>FIME 2023-17</w:t>
      </w:r>
      <w:r>
        <w:rPr>
          <w:rFonts w:ascii="Arial" w:eastAsia="Times New Roman" w:hAnsi="Arial" w:cs="Arial"/>
          <w:lang w:eastAsia="ar-SA"/>
        </w:rPr>
        <w:t xml:space="preserve"> met en qualité la nomenclature « POPULATION » pour les sanctions susceptibles d’être appliquées aux agents contractuels qui relèvent des personnels navigants suite à la publication du décret n° 2022-662 ainsi que les sanctions spécifiques susceptibles d’être prononcées à l’encontre des agents (titulaires et contractuels) occupant les fonctions des personnels navigants.</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sz w:val="22"/>
          <w:szCs w:val="22"/>
        </w:rPr>
        <w:t>FIME 2023-25</w:t>
      </w:r>
      <w:r>
        <w:rPr>
          <w:rFonts w:ascii="Arial" w:hAnsi="Arial" w:cs="Arial"/>
          <w:sz w:val="22"/>
          <w:szCs w:val="22"/>
        </w:rPr>
        <w:t xml:space="preserve"> trace les évolutions juridiques du dictionnaire des concepts suivant le code général de la fonction publique.</w:t>
      </w:r>
    </w:p>
    <w:p>
      <w:pPr>
        <w:pStyle w:val="CORPSDETEXTEDICO"/>
        <w:numPr>
          <w:ilvl w:val="0"/>
          <w:numId w:val="6"/>
        </w:numPr>
        <w:spacing w:before="120" w:after="120"/>
        <w:rPr>
          <w:rFonts w:ascii="Arial" w:hAnsi="Arial" w:cs="Arial"/>
          <w:sz w:val="22"/>
          <w:szCs w:val="22"/>
        </w:rPr>
      </w:pPr>
      <w:r>
        <w:rPr>
          <w:rFonts w:ascii="Arial" w:hAnsi="Arial" w:cs="Arial"/>
          <w:sz w:val="22"/>
          <w:szCs w:val="22"/>
        </w:rPr>
        <w:t>La</w:t>
      </w:r>
      <w:r>
        <w:rPr>
          <w:rFonts w:ascii="Arial" w:hAnsi="Arial" w:cs="Arial"/>
          <w:b/>
          <w:sz w:val="22"/>
          <w:szCs w:val="22"/>
        </w:rPr>
        <w:t xml:space="preserve"> FIME 2023-32 </w:t>
      </w:r>
      <w:r>
        <w:rPr>
          <w:rFonts w:ascii="Arial" w:hAnsi="Arial" w:cs="Arial"/>
          <w:sz w:val="22"/>
          <w:szCs w:val="22"/>
        </w:rPr>
        <w:t>crée un contrôle bloquant sur la date d’effet de radiation des cadres et sur les durées cumulées des congés de formation professionnelle. Elle met aussi en qualité le tableau RGRH « Congés annuels Jours ARTT ».</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FIME 2023-38</w:t>
      </w:r>
      <w:r>
        <w:rPr>
          <w:rFonts w:ascii="Arial" w:hAnsi="Arial" w:cs="Arial"/>
          <w:sz w:val="22"/>
          <w:szCs w:val="22"/>
        </w:rPr>
        <w:t xml:space="preserve"> prend en compte les évolutions des actes de la BdA suite à la simplification des visas validée par le GT BDA du 4 juillet 2023. </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FIME</w:t>
      </w:r>
      <w:r>
        <w:rPr>
          <w:rFonts w:ascii="Arial" w:hAnsi="Arial" w:cs="Arial"/>
          <w:sz w:val="22"/>
          <w:szCs w:val="22"/>
        </w:rPr>
        <w:t xml:space="preserve"> </w:t>
      </w:r>
      <w:r>
        <w:rPr>
          <w:rFonts w:ascii="Arial" w:hAnsi="Arial" w:cs="Arial"/>
          <w:b/>
          <w:bCs/>
          <w:sz w:val="22"/>
          <w:szCs w:val="22"/>
        </w:rPr>
        <w:t>2023-39</w:t>
      </w:r>
      <w:r>
        <w:rPr>
          <w:rFonts w:ascii="Arial" w:hAnsi="Arial" w:cs="Arial"/>
          <w:sz w:val="22"/>
          <w:szCs w:val="22"/>
        </w:rPr>
        <w:t xml:space="preserve"> a pour objet de mettre en qualité les sanctions susceptibles d’être appliquées aux agents qui relèvent du décret n° 2021-1645 du 13 décembre 2021 relatif au personnel enseignant et hospitalier des centres hospitaliers et universitaires.</w:t>
      </w:r>
    </w:p>
    <w:p>
      <w:pPr>
        <w:pStyle w:val="CORPSDETEXTEDICO"/>
        <w:numPr>
          <w:ilvl w:val="0"/>
          <w:numId w:val="6"/>
        </w:numPr>
        <w:spacing w:before="120" w:after="120"/>
        <w:rPr>
          <w:rFonts w:ascii="Arial" w:hAnsi="Arial" w:cs="Arial"/>
          <w:sz w:val="22"/>
          <w:szCs w:val="22"/>
        </w:rPr>
      </w:pPr>
      <w:bookmarkStart w:id="23" w:name="_Hlk157411950"/>
      <w:r>
        <w:rPr>
          <w:rFonts w:ascii="Arial" w:hAnsi="Arial" w:cs="Arial"/>
          <w:sz w:val="22"/>
          <w:szCs w:val="22"/>
        </w:rPr>
        <w:t xml:space="preserve">La </w:t>
      </w:r>
      <w:r>
        <w:rPr>
          <w:rFonts w:ascii="Arial" w:hAnsi="Arial" w:cs="Arial"/>
          <w:b/>
          <w:bCs/>
          <w:sz w:val="22"/>
          <w:szCs w:val="22"/>
        </w:rPr>
        <w:t>FIME 2023-40</w:t>
      </w:r>
      <w:r>
        <w:rPr>
          <w:rFonts w:ascii="Arial" w:hAnsi="Arial" w:cs="Arial"/>
          <w:sz w:val="22"/>
          <w:szCs w:val="22"/>
        </w:rPr>
        <w:t xml:space="preserve"> met à jour le référentiel des évènements en créant les évènements E0925 « Ecarté du service » et E0926 « Suspension des activités HU » avec les types d’événements associés ainsi que les règles de gestion.</w:t>
      </w:r>
    </w:p>
    <w:bookmarkEnd w:id="23"/>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 xml:space="preserve">FIME 2023-41 </w:t>
      </w:r>
      <w:r>
        <w:rPr>
          <w:rFonts w:ascii="Arial" w:hAnsi="Arial" w:cs="Arial"/>
          <w:sz w:val="22"/>
          <w:szCs w:val="22"/>
        </w:rPr>
        <w:t>fait évoluer le tableau RGRH « Cessation de fonctions » en créant les événements et les règles de gestion associées.</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 xml:space="preserve">FIME 2023-43 </w:t>
      </w:r>
      <w:r>
        <w:rPr>
          <w:rFonts w:ascii="Arial" w:hAnsi="Arial" w:cs="Arial"/>
          <w:sz w:val="22"/>
          <w:szCs w:val="22"/>
        </w:rPr>
        <w:t>crée des statuts pour certaines populations contractuelles que gère l’AMUE. Les populations et les règles de gestion (tableau RGRH Gestion des contrats) associées à ces nouveaux statuts sont créées.</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FIME 2023-44</w:t>
      </w:r>
      <w:r>
        <w:rPr>
          <w:rFonts w:ascii="Arial" w:hAnsi="Arial" w:cs="Arial"/>
          <w:sz w:val="22"/>
          <w:szCs w:val="22"/>
        </w:rPr>
        <w:t xml:space="preserve"> prévoit les règles de gestion relatives à l’interruption spontanée de grossesse dans les SIRH. Cette évolution réglementaire a des impacts sur les tableaux RGRH « Congé de maladie ordinaire » et « Cessation de fonction ». Par ailleurs, une mise en qualité du tableau RGRH « Congé de maladie ordinaire » est effectuée.</w:t>
      </w:r>
    </w:p>
    <w:p>
      <w:pPr>
        <w:pStyle w:val="Texte"/>
        <w:numPr>
          <w:ilvl w:val="0"/>
          <w:numId w:val="6"/>
        </w:numPr>
        <w:rPr>
          <w:sz w:val="22"/>
          <w:szCs w:val="22"/>
        </w:rPr>
      </w:pPr>
      <w:r>
        <w:rPr>
          <w:sz w:val="22"/>
          <w:szCs w:val="22"/>
        </w:rPr>
        <w:t xml:space="preserve">La </w:t>
      </w:r>
      <w:r>
        <w:rPr>
          <w:b/>
          <w:bCs/>
          <w:sz w:val="22"/>
          <w:szCs w:val="22"/>
        </w:rPr>
        <w:t>FIME 2023-45</w:t>
      </w:r>
      <w:r>
        <w:rPr>
          <w:sz w:val="22"/>
          <w:szCs w:val="22"/>
        </w:rPr>
        <w:t xml:space="preserve"> actualise les règles de gestion associées à l’événement de gestion « Congé de proche aidant » présent dans le tableau RGRH « Congé divers » suite </w:t>
      </w:r>
      <w:bookmarkStart w:id="24" w:name="_Hlk155693424"/>
      <w:r>
        <w:rPr>
          <w:sz w:val="22"/>
          <w:szCs w:val="22"/>
        </w:rPr>
        <w:t>aux parutions du décret n° 2023-825 du 25 août 2023 portant diverses dispositions relatives au congé de présence parentale et au congé de proche aidant et du décret n° 2021-1645 du 13 décembre 2021 relatif au personnel enseignant et hospitalier des centres hospitaliers et universitaires.</w:t>
      </w:r>
    </w:p>
    <w:bookmarkEnd w:id="24"/>
    <w:p>
      <w:pPr>
        <w:pStyle w:val="Texte"/>
        <w:numPr>
          <w:ilvl w:val="0"/>
          <w:numId w:val="6"/>
        </w:numPr>
      </w:pPr>
      <w:r>
        <w:rPr>
          <w:sz w:val="22"/>
          <w:szCs w:val="22"/>
        </w:rPr>
        <w:t xml:space="preserve">La </w:t>
      </w:r>
      <w:r>
        <w:rPr>
          <w:b/>
          <w:bCs/>
          <w:sz w:val="22"/>
          <w:szCs w:val="22"/>
        </w:rPr>
        <w:t>FIME 2023-47</w:t>
      </w:r>
      <w:r>
        <w:rPr>
          <w:sz w:val="22"/>
          <w:szCs w:val="22"/>
        </w:rPr>
        <w:t xml:space="preserve"> rend passante la population des Volontaires de service civique (P0179) pour certains événements du tableau RGRH « Cessation de fonctions » et créé les règles de gestion associées.</w:t>
      </w:r>
    </w:p>
    <w:p>
      <w:pPr>
        <w:pStyle w:val="Texte"/>
        <w:numPr>
          <w:ilvl w:val="0"/>
          <w:numId w:val="6"/>
        </w:numPr>
      </w:pPr>
      <w:r>
        <w:rPr>
          <w:sz w:val="22"/>
          <w:szCs w:val="22"/>
        </w:rPr>
        <w:t xml:space="preserve">La </w:t>
      </w:r>
      <w:r>
        <w:rPr>
          <w:b/>
          <w:bCs/>
          <w:sz w:val="22"/>
          <w:szCs w:val="22"/>
        </w:rPr>
        <w:t>FIME 2023-48</w:t>
      </w:r>
      <w:r>
        <w:rPr>
          <w:sz w:val="22"/>
          <w:szCs w:val="22"/>
        </w:rPr>
        <w:t xml:space="preserve"> met à jour les règles de gestion dans le tableau RGRH « Congé de présence parentale » suite à la parution </w:t>
      </w:r>
      <w:bookmarkStart w:id="25" w:name="_Hlk155693461"/>
      <w:r>
        <w:rPr>
          <w:sz w:val="22"/>
          <w:szCs w:val="22"/>
        </w:rPr>
        <w:t>de la loi n° 2022-1616 du 23 décembre 2022 de financement de la sécurité sociale pour 2023 (1) et du décret n° 2023-825 du 25 août 2023 portant diverses dispositions relatives au congé de présence parentale et au congé de proche aidant.</w:t>
      </w:r>
    </w:p>
    <w:bookmarkEnd w:id="25"/>
    <w:p>
      <w:pPr>
        <w:pStyle w:val="CORPSDETEXTEDICO"/>
        <w:numPr>
          <w:ilvl w:val="0"/>
          <w:numId w:val="6"/>
        </w:numPr>
        <w:spacing w:before="120" w:after="120"/>
        <w:rPr>
          <w:rFonts w:ascii="Arial" w:hAnsi="Arial" w:cs="Arial"/>
          <w:sz w:val="22"/>
          <w:szCs w:val="22"/>
        </w:rPr>
      </w:pPr>
      <w:r>
        <w:rPr>
          <w:rFonts w:ascii="Arial" w:hAnsi="Arial" w:cs="Arial"/>
          <w:sz w:val="22"/>
          <w:szCs w:val="22"/>
        </w:rPr>
        <w:lastRenderedPageBreak/>
        <w:t xml:space="preserve">La </w:t>
      </w:r>
      <w:r>
        <w:rPr>
          <w:rFonts w:ascii="Arial" w:hAnsi="Arial" w:cs="Arial"/>
          <w:b/>
          <w:bCs/>
          <w:sz w:val="22"/>
          <w:szCs w:val="22"/>
        </w:rPr>
        <w:t>FIME 2023-50</w:t>
      </w:r>
      <w:r>
        <w:rPr>
          <w:rFonts w:ascii="Arial" w:hAnsi="Arial" w:cs="Arial"/>
          <w:sz w:val="22"/>
          <w:szCs w:val="22"/>
        </w:rPr>
        <w:t xml:space="preserve"> consiste à mettre à jour et en qualité le tableau de RGRH « Promouvabilité ».</w:t>
      </w:r>
    </w:p>
    <w:p>
      <w:pPr>
        <w:pStyle w:val="CORPSDETEXTEDICO"/>
        <w:numPr>
          <w:ilvl w:val="0"/>
          <w:numId w:val="6"/>
        </w:numPr>
        <w:spacing w:before="120" w:after="120"/>
        <w:rPr>
          <w:rFonts w:ascii="Arial" w:hAnsi="Arial" w:cs="Arial"/>
          <w:sz w:val="22"/>
          <w:szCs w:val="22"/>
        </w:rPr>
      </w:pPr>
      <w:r>
        <w:rPr>
          <w:rFonts w:ascii="Arial" w:hAnsi="Arial" w:cs="Arial"/>
          <w:sz w:val="22"/>
          <w:szCs w:val="22"/>
        </w:rPr>
        <w:t xml:space="preserve">La </w:t>
      </w:r>
      <w:r>
        <w:rPr>
          <w:rFonts w:ascii="Arial" w:hAnsi="Arial" w:cs="Arial"/>
          <w:b/>
          <w:bCs/>
          <w:sz w:val="22"/>
          <w:szCs w:val="22"/>
        </w:rPr>
        <w:t>FIME 2023-51</w:t>
      </w:r>
      <w:r>
        <w:rPr>
          <w:rFonts w:ascii="Arial" w:hAnsi="Arial" w:cs="Arial"/>
          <w:sz w:val="22"/>
          <w:szCs w:val="22"/>
        </w:rPr>
        <w:t xml:space="preserve"> intègre les dispositions de </w:t>
      </w:r>
      <w:bookmarkStart w:id="26" w:name="_Hlk155693501"/>
      <w:r>
        <w:rPr>
          <w:rFonts w:ascii="Arial" w:hAnsi="Arial" w:cs="Arial"/>
          <w:sz w:val="22"/>
          <w:szCs w:val="22"/>
        </w:rPr>
        <w:t xml:space="preserve">l’arrêté du 1er août 2023 relatif à la formation et à l'accompagnement personnalisé des agents publics </w:t>
      </w:r>
      <w:bookmarkEnd w:id="26"/>
      <w:r>
        <w:rPr>
          <w:rFonts w:ascii="Arial" w:hAnsi="Arial" w:cs="Arial"/>
          <w:sz w:val="22"/>
          <w:szCs w:val="22"/>
        </w:rPr>
        <w:t>dans les tableaux de RGRH « Bilan de parcours professionnel » et « Plan individuel de développement des compétences ».</w:t>
      </w:r>
    </w:p>
    <w:p>
      <w:pPr>
        <w:pStyle w:val="CORPSDETEXTEDICO"/>
        <w:numPr>
          <w:ilvl w:val="0"/>
          <w:numId w:val="6"/>
        </w:numPr>
        <w:spacing w:before="120" w:after="120"/>
        <w:rPr>
          <w:rFonts w:ascii="Arial" w:hAnsi="Arial" w:cs="Arial"/>
          <w:b/>
          <w:bCs/>
          <w:sz w:val="22"/>
          <w:szCs w:val="22"/>
        </w:rPr>
      </w:pPr>
      <w:r>
        <w:rPr>
          <w:rFonts w:ascii="Arial" w:hAnsi="Arial" w:cs="Arial"/>
          <w:sz w:val="22"/>
          <w:szCs w:val="22"/>
        </w:rPr>
        <w:t xml:space="preserve">Les </w:t>
      </w:r>
      <w:r>
        <w:rPr>
          <w:rFonts w:ascii="Arial" w:hAnsi="Arial" w:cs="Arial"/>
          <w:b/>
          <w:bCs/>
          <w:sz w:val="22"/>
          <w:szCs w:val="22"/>
        </w:rPr>
        <w:t xml:space="preserve">FIME 2023-52 et 2023-54 </w:t>
      </w:r>
      <w:r>
        <w:rPr>
          <w:rFonts w:ascii="Arial" w:hAnsi="Arial" w:cs="Arial"/>
          <w:sz w:val="22"/>
          <w:szCs w:val="22"/>
        </w:rPr>
        <w:t>mettent en qualité divers tableaux RGRH.</w:t>
      </w:r>
    </w:p>
    <w:p>
      <w:pPr>
        <w:pStyle w:val="CORPSDETEXTEDICO"/>
        <w:numPr>
          <w:ilvl w:val="0"/>
          <w:numId w:val="6"/>
        </w:numPr>
        <w:spacing w:before="120" w:after="120"/>
        <w:rPr>
          <w:rFonts w:ascii="Arial" w:hAnsi="Arial" w:cs="Arial"/>
          <w:b/>
          <w:bCs/>
          <w:sz w:val="22"/>
          <w:szCs w:val="22"/>
        </w:rPr>
      </w:pPr>
      <w:r>
        <w:rPr>
          <w:rFonts w:ascii="Arial" w:hAnsi="Arial" w:cs="Arial"/>
          <w:sz w:val="22"/>
          <w:szCs w:val="22"/>
        </w:rPr>
        <w:t>La</w:t>
      </w:r>
      <w:r>
        <w:rPr>
          <w:rFonts w:ascii="Arial" w:hAnsi="Arial" w:cs="Arial"/>
          <w:b/>
          <w:bCs/>
          <w:sz w:val="22"/>
          <w:szCs w:val="22"/>
        </w:rPr>
        <w:t xml:space="preserve"> FIME 2023-57 </w:t>
      </w:r>
      <w:r>
        <w:rPr>
          <w:rFonts w:ascii="Arial" w:hAnsi="Arial" w:cs="Arial"/>
          <w:sz w:val="22"/>
          <w:szCs w:val="22"/>
        </w:rPr>
        <w:t>a pour objet de mettre en qualité le tableau RGRH « Congé pour adoption » susceptible d’être appliqué aux agents qui relèvent du décret n° 2021-1645 du 13 décembre 2021 relatif au personnel enseignant et hospitalier des centres hospitaliers et universitaires.</w:t>
      </w:r>
    </w:p>
    <w:p>
      <w:pPr>
        <w:pStyle w:val="Paragraphedeliste"/>
        <w:numPr>
          <w:ilvl w:val="0"/>
          <w:numId w:val="6"/>
        </w:numPr>
        <w:jc w:val="both"/>
        <w:rPr>
          <w:rFonts w:ascii="Arial" w:eastAsia="Times New Roman" w:hAnsi="Arial" w:cs="Arial"/>
          <w:lang w:eastAsia="ar-SA"/>
        </w:rPr>
      </w:pPr>
      <w:r>
        <w:rPr>
          <w:rFonts w:ascii="Arial" w:hAnsi="Arial" w:cs="Arial"/>
        </w:rPr>
        <w:t xml:space="preserve">La </w:t>
      </w:r>
      <w:r>
        <w:rPr>
          <w:rFonts w:ascii="Arial" w:hAnsi="Arial" w:cs="Arial"/>
          <w:b/>
          <w:bCs/>
        </w:rPr>
        <w:t>FIME 2023-58</w:t>
      </w:r>
      <w:r>
        <w:rPr>
          <w:rFonts w:ascii="Arial" w:hAnsi="Arial" w:cs="Arial"/>
        </w:rPr>
        <w:t xml:space="preserve"> fait évoluer les règles de gestion associées à plusieurs tableaux RGRH suite à la création de la nouvelle population « Agent détaché sur contrat ».</w:t>
      </w:r>
    </w:p>
    <w:p>
      <w:pPr>
        <w:pStyle w:val="Paragraphedeliste"/>
        <w:numPr>
          <w:ilvl w:val="0"/>
          <w:numId w:val="6"/>
        </w:numPr>
        <w:jc w:val="both"/>
        <w:rPr>
          <w:rFonts w:ascii="Arial" w:hAnsi="Arial" w:cs="Arial"/>
        </w:rPr>
      </w:pPr>
      <w:r>
        <w:rPr>
          <w:rFonts w:ascii="Arial" w:hAnsi="Arial" w:cs="Arial"/>
        </w:rPr>
        <w:t xml:space="preserve">La </w:t>
      </w:r>
      <w:r>
        <w:rPr>
          <w:rFonts w:ascii="Arial" w:hAnsi="Arial" w:cs="Arial"/>
          <w:b/>
          <w:bCs/>
        </w:rPr>
        <w:t xml:space="preserve">FIME 2023-61 </w:t>
      </w:r>
      <w:r>
        <w:rPr>
          <w:rFonts w:ascii="Arial" w:hAnsi="Arial" w:cs="Arial"/>
        </w:rPr>
        <w:t>prend en compte</w:t>
      </w:r>
      <w:r>
        <w:t xml:space="preserve"> </w:t>
      </w:r>
      <w:bookmarkStart w:id="27" w:name="_Hlk155693582"/>
      <w:r>
        <w:rPr>
          <w:rFonts w:ascii="Arial" w:hAnsi="Arial" w:cs="Arial"/>
        </w:rPr>
        <w:t xml:space="preserve">l’article A34 bis (1°) du décret n°86-83 qui précise les conditions d’ancienneté requises pour bénéficier d’une autorisation de temps partiel de droit pour naissance ou adoption ainsi que l’évolution de l’article L1225-47 du code du travail, modifié par la loi 2023-171 du 9 mars 2023 </w:t>
      </w:r>
      <w:bookmarkEnd w:id="27"/>
      <w:r>
        <w:rPr>
          <w:rFonts w:ascii="Arial" w:hAnsi="Arial" w:cs="Arial"/>
        </w:rPr>
        <w:t>en mettant à jour les règles de gestion associées à l’événement de gestion « Temps partiel de droit à l'occasion d'une naissance ou d'une adoption» dans le tableau RGRH « Temps partiel » pour les agents contractuels.</w:t>
      </w:r>
    </w:p>
    <w:p>
      <w:pPr>
        <w:pStyle w:val="Paragraphedeliste"/>
        <w:numPr>
          <w:ilvl w:val="0"/>
          <w:numId w:val="6"/>
        </w:numPr>
        <w:jc w:val="both"/>
        <w:rPr>
          <w:rFonts w:ascii="Arial" w:eastAsia="Times New Roman" w:hAnsi="Arial" w:cs="Arial"/>
          <w:lang w:eastAsia="ar-SA"/>
        </w:rPr>
      </w:pPr>
      <w:r>
        <w:rPr>
          <w:rFonts w:ascii="Arial" w:hAnsi="Arial" w:cs="Arial"/>
        </w:rPr>
        <w:t xml:space="preserve">La </w:t>
      </w:r>
      <w:r>
        <w:rPr>
          <w:rFonts w:ascii="Arial" w:hAnsi="Arial" w:cs="Arial"/>
          <w:b/>
          <w:bCs/>
        </w:rPr>
        <w:t xml:space="preserve">FIME 2023-64 </w:t>
      </w:r>
      <w:r>
        <w:rPr>
          <w:rFonts w:ascii="Arial" w:hAnsi="Arial" w:cs="Arial"/>
        </w:rPr>
        <w:t xml:space="preserve">trace les évolutions des actes de la BdA suite aux décisions validées lors du GT BDA du 21 novembre 2023. </w:t>
      </w:r>
    </w:p>
    <w:p>
      <w:pPr>
        <w:pStyle w:val="Paragraphedeliste"/>
        <w:numPr>
          <w:ilvl w:val="0"/>
          <w:numId w:val="6"/>
        </w:numPr>
        <w:jc w:val="both"/>
        <w:rPr>
          <w:rFonts w:ascii="Arial" w:eastAsia="Times New Roman" w:hAnsi="Arial" w:cs="Arial"/>
          <w:lang w:eastAsia="ar-SA"/>
        </w:rPr>
      </w:pPr>
      <w:r>
        <w:rPr>
          <w:rFonts w:ascii="Arial" w:hAnsi="Arial" w:cs="Arial"/>
        </w:rPr>
        <w:t xml:space="preserve">La </w:t>
      </w:r>
      <w:r>
        <w:rPr>
          <w:rFonts w:ascii="Arial" w:hAnsi="Arial" w:cs="Arial"/>
          <w:b/>
          <w:bCs/>
        </w:rPr>
        <w:t>FIME 2023-70</w:t>
      </w:r>
      <w:r>
        <w:rPr>
          <w:rFonts w:ascii="Arial" w:hAnsi="Arial" w:cs="Arial"/>
        </w:rPr>
        <w:t xml:space="preserve"> (qui sera soumise à la relecture des ministères dans le lot n°32) actualise les nomenclatures fichier GEST conformément aux diffusions de la DGFiP.</w:t>
      </w:r>
    </w:p>
    <w:p>
      <w:pPr>
        <w:pStyle w:val="CORPSDETEXTEDICO"/>
        <w:spacing w:before="120" w:after="120"/>
        <w:ind w:left="1080"/>
        <w:rPr>
          <w:rFonts w:ascii="Arial" w:hAnsi="Arial" w:cs="Arial"/>
          <w:sz w:val="22"/>
          <w:szCs w:val="22"/>
        </w:rPr>
      </w:pPr>
    </w:p>
    <w:p>
      <w:pPr>
        <w:pStyle w:val="Titre3"/>
      </w:pPr>
      <w:bookmarkStart w:id="28" w:name="_Toc18679680"/>
      <w:bookmarkStart w:id="29" w:name="_Toc157084298"/>
      <w:r>
        <w:t>Informations complémentaires</w:t>
      </w:r>
      <w:bookmarkEnd w:id="28"/>
      <w:bookmarkEnd w:id="29"/>
    </w:p>
    <w:p>
      <w:pPr>
        <w:pStyle w:val="CORPSDETEXTEDICO"/>
        <w:spacing w:before="120" w:after="120"/>
        <w:ind w:left="360"/>
        <w:rPr>
          <w:rFonts w:ascii="Arial" w:hAnsi="Arial" w:cs="Arial"/>
          <w:sz w:val="22"/>
        </w:rPr>
      </w:pPr>
      <w:r>
        <w:rPr>
          <w:rFonts w:ascii="Arial" w:hAnsi="Arial" w:cs="Arial"/>
          <w:sz w:val="22"/>
        </w:rPr>
        <w:t>Les documents créés ou mis à jour sont identifiables dans le répertoire « 8-Informations complémentaires » :</w:t>
      </w:r>
    </w:p>
    <w:p>
      <w:pPr>
        <w:pStyle w:val="CORPSDETEXTEDICO"/>
        <w:numPr>
          <w:ilvl w:val="0"/>
          <w:numId w:val="34"/>
        </w:numPr>
        <w:spacing w:before="120" w:after="120"/>
        <w:ind w:left="1134" w:hanging="425"/>
        <w:jc w:val="left"/>
        <w:rPr>
          <w:rFonts w:ascii="Arial" w:hAnsi="Arial" w:cs="Arial"/>
          <w:sz w:val="22"/>
        </w:rPr>
      </w:pPr>
      <w:r>
        <w:rPr>
          <w:rFonts w:ascii="Arial" w:hAnsi="Arial" w:cs="Arial"/>
          <w:sz w:val="22"/>
        </w:rPr>
        <w:t>Les nomenclatures transverses RGRH, RDP et BDA suivantes :</w:t>
      </w:r>
    </w:p>
    <w:p>
      <w:pPr>
        <w:pStyle w:val="CORPSDETEXTEDICO"/>
        <w:numPr>
          <w:ilvl w:val="0"/>
          <w:numId w:val="43"/>
        </w:numPr>
        <w:spacing w:before="0"/>
        <w:ind w:hanging="357"/>
        <w:jc w:val="left"/>
        <w:rPr>
          <w:rFonts w:ascii="Arial" w:hAnsi="Arial" w:cs="Arial"/>
          <w:sz w:val="22"/>
        </w:rPr>
      </w:pPr>
      <w:r>
        <w:rPr>
          <w:rFonts w:ascii="Arial" w:hAnsi="Arial" w:cs="Arial"/>
          <w:sz w:val="22"/>
        </w:rPr>
        <w:t>« LEXIQUE_TYPE_DUREE_23.10.00.xlsx» (version inchangée),</w:t>
      </w:r>
    </w:p>
    <w:p>
      <w:pPr>
        <w:pStyle w:val="CORPSDETEXTEDICO"/>
        <w:numPr>
          <w:ilvl w:val="0"/>
          <w:numId w:val="43"/>
        </w:numPr>
        <w:spacing w:before="0"/>
        <w:ind w:hanging="357"/>
        <w:jc w:val="left"/>
        <w:rPr>
          <w:rFonts w:ascii="Arial" w:hAnsi="Arial" w:cs="Arial"/>
          <w:sz w:val="22"/>
        </w:rPr>
      </w:pPr>
      <w:r>
        <w:rPr>
          <w:rFonts w:ascii="Arial" w:hAnsi="Arial" w:cs="Arial"/>
          <w:sz w:val="22"/>
        </w:rPr>
        <w:t xml:space="preserve">« LEXIQUE_TYPE_OCCURRENCE_23.10.00.xlsx» (version inchangée), </w:t>
      </w:r>
    </w:p>
    <w:p>
      <w:pPr>
        <w:pStyle w:val="CORPSDETEXTEDICO"/>
        <w:numPr>
          <w:ilvl w:val="0"/>
          <w:numId w:val="43"/>
        </w:numPr>
        <w:spacing w:before="0"/>
        <w:ind w:hanging="357"/>
        <w:jc w:val="left"/>
        <w:rPr>
          <w:rFonts w:ascii="Arial" w:hAnsi="Arial" w:cs="Arial"/>
          <w:sz w:val="22"/>
        </w:rPr>
      </w:pPr>
      <w:r>
        <w:rPr>
          <w:rFonts w:ascii="Arial" w:hAnsi="Arial" w:cs="Arial"/>
          <w:sz w:val="22"/>
        </w:rPr>
        <w:t>« POPULATION_23.10.00.xlsx »,</w:t>
      </w:r>
    </w:p>
    <w:p>
      <w:pPr>
        <w:pStyle w:val="CORPSDETEXTEDICO"/>
        <w:numPr>
          <w:ilvl w:val="0"/>
          <w:numId w:val="43"/>
        </w:numPr>
        <w:spacing w:before="0"/>
        <w:ind w:hanging="357"/>
        <w:jc w:val="left"/>
        <w:rPr>
          <w:rFonts w:ascii="Arial" w:hAnsi="Arial" w:cs="Arial"/>
          <w:sz w:val="22"/>
        </w:rPr>
      </w:pPr>
      <w:r>
        <w:rPr>
          <w:rFonts w:ascii="Arial" w:hAnsi="Arial" w:cs="Arial"/>
          <w:sz w:val="22"/>
        </w:rPr>
        <w:t>« POPULATION_REF_23.10.00.xlsx ».</w:t>
      </w:r>
    </w:p>
    <w:p>
      <w:pPr>
        <w:pStyle w:val="CORPSDETEXTEDICO"/>
        <w:spacing w:before="120" w:after="120"/>
        <w:ind w:left="1080"/>
        <w:rPr>
          <w:rFonts w:ascii="Arial" w:hAnsi="Arial" w:cs="Arial"/>
          <w:sz w:val="22"/>
        </w:rPr>
      </w:pPr>
      <w:r>
        <w:rPr>
          <w:rFonts w:ascii="Arial" w:hAnsi="Arial" w:cs="Arial"/>
          <w:sz w:val="22"/>
        </w:rPr>
        <w:t>Ces 4 nomenclatures sont également accessibles depuis l’application INGRES dans le domaine « Informations complémentaires » ;</w:t>
      </w:r>
    </w:p>
    <w:p>
      <w:pPr>
        <w:pStyle w:val="CORPSDETEXTEDICO"/>
        <w:numPr>
          <w:ilvl w:val="0"/>
          <w:numId w:val="7"/>
        </w:numPr>
        <w:spacing w:before="120" w:after="120"/>
        <w:rPr>
          <w:rFonts w:ascii="Arial" w:hAnsi="Arial" w:cs="Arial"/>
          <w:sz w:val="22"/>
        </w:rPr>
      </w:pPr>
      <w:r>
        <w:rPr>
          <w:rFonts w:ascii="Arial" w:hAnsi="Arial" w:cs="Arial"/>
          <w:sz w:val="22"/>
        </w:rPr>
        <w:t>Les documentations métiers des nomenclatures congés/absences, positions/situations, motifs de cessation définitive de fonctions et sanctions. Elles seront mises à jour du Code général de la fonction publique prochainement ;</w:t>
      </w:r>
    </w:p>
    <w:p>
      <w:pPr>
        <w:pStyle w:val="CORPSDETEXTEDICO"/>
        <w:numPr>
          <w:ilvl w:val="0"/>
          <w:numId w:val="7"/>
        </w:numPr>
        <w:spacing w:before="120" w:after="120"/>
        <w:rPr>
          <w:rFonts w:ascii="Arial" w:hAnsi="Arial" w:cs="Arial"/>
          <w:sz w:val="22"/>
        </w:rPr>
      </w:pPr>
      <w:r>
        <w:rPr>
          <w:rFonts w:ascii="Arial" w:hAnsi="Arial" w:cs="Arial"/>
          <w:sz w:val="22"/>
        </w:rPr>
        <w:t>La correspondance des codes du Noyau RH FPE avec les codes à transmettre dans le FIP pour 8 nomenclatures ;</w:t>
      </w:r>
    </w:p>
    <w:p>
      <w:pPr>
        <w:pStyle w:val="CORPSDETEXTEDICO"/>
        <w:numPr>
          <w:ilvl w:val="0"/>
          <w:numId w:val="7"/>
        </w:numPr>
        <w:spacing w:before="120" w:after="120"/>
        <w:rPr>
          <w:rFonts w:ascii="Arial" w:hAnsi="Arial" w:cs="Arial"/>
          <w:sz w:val="22"/>
        </w:rPr>
      </w:pPr>
      <w:r>
        <w:rPr>
          <w:rFonts w:ascii="Arial" w:hAnsi="Arial" w:cs="Arial"/>
          <w:sz w:val="22"/>
        </w:rPr>
        <w:lastRenderedPageBreak/>
        <w:t>Les tables de transcodification, la définition des compteurs et d’autres documentations diverses ;</w:t>
      </w:r>
    </w:p>
    <w:p>
      <w:pPr>
        <w:pStyle w:val="CORPSDETEXTEDICO"/>
        <w:numPr>
          <w:ilvl w:val="0"/>
          <w:numId w:val="7"/>
        </w:numPr>
        <w:spacing w:before="120" w:after="120"/>
        <w:rPr>
          <w:rFonts w:ascii="Arial" w:hAnsi="Arial" w:cs="Arial"/>
          <w:sz w:val="22"/>
        </w:rPr>
      </w:pPr>
      <w:r>
        <w:rPr>
          <w:rFonts w:ascii="Arial" w:hAnsi="Arial" w:cs="Arial"/>
          <w:sz w:val="22"/>
        </w:rPr>
        <w:t>Les guides d’avancement de grade et d’avancement d’échelon actualisés ainsi que le guide relatif à la rémunération hors échelle. Ces documents s’inscrivent dans une démarche d’accompagnement des ministères et de leurs gestionnaires RH. Ils permettent de clarifier la réglementation, d’harmoniser les pratiques et de faciliter l’implémentation de règles exactes dans les SIRH pour les processus correspondants. Ils ont ainsi pour objectif de définir de manière univoque les concepts liés à l’avancement de grade et d’échelon, et de classement et les règles de gestion afférentes.</w:t>
      </w:r>
    </w:p>
    <w:p>
      <w:pPr>
        <w:pStyle w:val="CORPSDETEXTEDICO"/>
        <w:numPr>
          <w:ilvl w:val="0"/>
          <w:numId w:val="7"/>
        </w:numPr>
        <w:spacing w:before="120" w:after="120"/>
        <w:rPr>
          <w:rFonts w:ascii="Arial" w:hAnsi="Arial" w:cs="Arial"/>
          <w:sz w:val="22"/>
        </w:rPr>
      </w:pPr>
      <w:r>
        <w:rPr>
          <w:rFonts w:ascii="Arial" w:hAnsi="Arial" w:cs="Arial"/>
          <w:sz w:val="22"/>
        </w:rPr>
        <w:t>Le mode opératoire de la nomenclature BG_INCOMPATIBLE (matrice des incompatibilités)</w:t>
      </w:r>
    </w:p>
    <w:p>
      <w:pPr>
        <w:pStyle w:val="CORPSDETEXTEDICO"/>
        <w:numPr>
          <w:ilvl w:val="0"/>
          <w:numId w:val="4"/>
        </w:numPr>
        <w:spacing w:after="120"/>
        <w:rPr>
          <w:rFonts w:ascii="Arial" w:hAnsi="Arial" w:cs="Arial"/>
          <w:sz w:val="22"/>
        </w:rPr>
      </w:pPr>
      <w:r>
        <w:rPr>
          <w:rFonts w:ascii="Arial" w:hAnsi="Arial" w:cs="Arial"/>
          <w:sz w:val="22"/>
        </w:rPr>
        <w:t>Les deux cartographies des emplois fonctionnels des Administrations Territoriales de l’Etat qui reprennent les emplois fonctionnels et ceux de l’Outre-Mer.  Elles font apparaître les changements structurels des directions et les évolutions réglementaires des emplois fonctionnels en citant les textes de référence qui les portent.</w:t>
      </w:r>
    </w:p>
    <w:p>
      <w:pPr>
        <w:pStyle w:val="CORPSDETEXTEDICO"/>
        <w:spacing w:after="120"/>
        <w:ind w:left="1080"/>
        <w:rPr>
          <w:rFonts w:ascii="Arial" w:hAnsi="Arial" w:cs="Arial"/>
          <w:color w:val="002060"/>
          <w:sz w:val="22"/>
        </w:rPr>
      </w:pPr>
    </w:p>
    <w:p>
      <w:pPr>
        <w:pStyle w:val="CORPSDETEXTEDICO"/>
        <w:spacing w:before="120" w:after="120"/>
        <w:ind w:left="720"/>
        <w:rPr>
          <w:rFonts w:ascii="Arial" w:hAnsi="Arial" w:cs="Arial"/>
          <w:sz w:val="22"/>
        </w:rPr>
      </w:pPr>
    </w:p>
    <w:p>
      <w:pPr>
        <w:pStyle w:val="CORPSDETEXTEDICO"/>
        <w:spacing w:before="120" w:after="120"/>
        <w:rPr>
          <w:rFonts w:ascii="Arial" w:hAnsi="Arial" w:cs="Arial"/>
          <w:sz w:val="22"/>
        </w:rPr>
      </w:pPr>
    </w:p>
    <w:p>
      <w:pPr>
        <w:rPr>
          <w:rFonts w:ascii="Arial" w:hAnsi="Arial" w:cs="Arial"/>
          <w:color w:val="0000FF"/>
        </w:rPr>
      </w:pPr>
      <w:bookmarkStart w:id="30" w:name="_Toc18679681"/>
      <w:r>
        <w:br w:type="page"/>
      </w:r>
    </w:p>
    <w:p>
      <w:pPr>
        <w:pStyle w:val="Titre3"/>
      </w:pPr>
      <w:bookmarkStart w:id="31" w:name="_Toc157084299"/>
      <w:r>
        <w:lastRenderedPageBreak/>
        <w:t>Bibliothèque des actes</w:t>
      </w:r>
      <w:bookmarkEnd w:id="30"/>
      <w:bookmarkEnd w:id="31"/>
    </w:p>
    <w:p>
      <w:pPr>
        <w:pStyle w:val="CORPSDETEXTEDICO"/>
        <w:spacing w:before="120" w:after="120"/>
        <w:ind w:left="360"/>
        <w:rPr>
          <w:rFonts w:ascii="Arial" w:hAnsi="Arial" w:cs="Arial"/>
          <w:sz w:val="22"/>
        </w:rPr>
      </w:pPr>
      <w:r>
        <w:rPr>
          <w:rFonts w:ascii="Arial" w:hAnsi="Arial" w:cs="Arial"/>
          <w:sz w:val="22"/>
        </w:rPr>
        <w:t>Ce répertoire comporte deux sous-répertoires :</w:t>
      </w:r>
    </w:p>
    <w:p>
      <w:pPr>
        <w:pStyle w:val="CORPSDETEXTEDICO"/>
        <w:numPr>
          <w:ilvl w:val="0"/>
          <w:numId w:val="7"/>
        </w:numPr>
        <w:spacing w:before="0"/>
        <w:rPr>
          <w:rFonts w:ascii="Arial" w:hAnsi="Arial" w:cs="Arial"/>
          <w:sz w:val="22"/>
        </w:rPr>
      </w:pPr>
      <w:r>
        <w:rPr>
          <w:rFonts w:ascii="Arial" w:hAnsi="Arial" w:cs="Arial"/>
          <w:sz w:val="22"/>
        </w:rPr>
        <w:t xml:space="preserve">Le sous-répertoire « Documentaire » dans lequel figurent les actes administratifs validés et classés </w:t>
      </w:r>
      <w:r>
        <w:rPr>
          <w:rFonts w:ascii="Arial" w:hAnsi="Arial" w:cs="Arial"/>
          <w:sz w:val="22"/>
          <w:u w:val="single"/>
        </w:rPr>
        <w:t>par nature</w:t>
      </w:r>
      <w:r>
        <w:rPr>
          <w:rFonts w:ascii="Arial" w:hAnsi="Arial" w:cs="Arial"/>
          <w:sz w:val="22"/>
        </w:rPr>
        <w:t> :</w:t>
      </w:r>
    </w:p>
    <w:p>
      <w:pPr>
        <w:pStyle w:val="CORPSDETEXTEDICO"/>
        <w:numPr>
          <w:ilvl w:val="0"/>
          <w:numId w:val="44"/>
        </w:numPr>
        <w:spacing w:before="40"/>
        <w:rPr>
          <w:rFonts w:ascii="Arial" w:hAnsi="Arial" w:cs="Arial"/>
          <w:sz w:val="22"/>
        </w:rPr>
      </w:pPr>
      <w:r>
        <w:rPr>
          <w:rFonts w:ascii="Arial" w:hAnsi="Arial" w:cs="Arial"/>
          <w:sz w:val="22"/>
        </w:rPr>
        <w:t>absence </w:t>
      </w:r>
    </w:p>
    <w:p>
      <w:pPr>
        <w:pStyle w:val="CORPSDETEXTEDICO"/>
        <w:numPr>
          <w:ilvl w:val="0"/>
          <w:numId w:val="44"/>
        </w:numPr>
        <w:spacing w:before="40"/>
        <w:rPr>
          <w:rFonts w:ascii="Arial" w:hAnsi="Arial" w:cs="Arial"/>
          <w:sz w:val="22"/>
        </w:rPr>
      </w:pPr>
      <w:r>
        <w:rPr>
          <w:rFonts w:ascii="Arial" w:hAnsi="Arial" w:cs="Arial"/>
          <w:sz w:val="22"/>
        </w:rPr>
        <w:t>affectation </w:t>
      </w:r>
    </w:p>
    <w:p>
      <w:pPr>
        <w:pStyle w:val="CORPSDETEXTEDICO"/>
        <w:numPr>
          <w:ilvl w:val="0"/>
          <w:numId w:val="44"/>
        </w:numPr>
        <w:spacing w:before="40"/>
        <w:rPr>
          <w:rFonts w:ascii="Arial" w:hAnsi="Arial" w:cs="Arial"/>
          <w:sz w:val="22"/>
        </w:rPr>
      </w:pPr>
      <w:r>
        <w:rPr>
          <w:rFonts w:ascii="Arial" w:hAnsi="Arial" w:cs="Arial"/>
          <w:sz w:val="22"/>
        </w:rPr>
        <w:t>carrière </w:t>
      </w:r>
    </w:p>
    <w:p>
      <w:pPr>
        <w:pStyle w:val="CORPSDETEXTEDICO"/>
        <w:numPr>
          <w:ilvl w:val="0"/>
          <w:numId w:val="44"/>
        </w:numPr>
        <w:spacing w:before="40"/>
        <w:rPr>
          <w:rFonts w:ascii="Arial" w:hAnsi="Arial" w:cs="Arial"/>
          <w:sz w:val="22"/>
        </w:rPr>
      </w:pPr>
      <w:r>
        <w:rPr>
          <w:rFonts w:ascii="Arial" w:hAnsi="Arial" w:cs="Arial"/>
          <w:sz w:val="22"/>
        </w:rPr>
        <w:t>cessation de fonctions </w:t>
      </w:r>
    </w:p>
    <w:p>
      <w:pPr>
        <w:pStyle w:val="CORPSDETEXTEDICO"/>
        <w:numPr>
          <w:ilvl w:val="0"/>
          <w:numId w:val="44"/>
        </w:numPr>
        <w:spacing w:before="40"/>
        <w:rPr>
          <w:rFonts w:ascii="Arial" w:hAnsi="Arial" w:cs="Arial"/>
          <w:sz w:val="22"/>
        </w:rPr>
      </w:pPr>
      <w:r>
        <w:rPr>
          <w:rFonts w:ascii="Arial" w:hAnsi="Arial" w:cs="Arial"/>
          <w:sz w:val="22"/>
        </w:rPr>
        <w:t xml:space="preserve">indemnitaire </w:t>
      </w:r>
    </w:p>
    <w:p>
      <w:pPr>
        <w:pStyle w:val="CORPSDETEXTEDICO"/>
        <w:numPr>
          <w:ilvl w:val="0"/>
          <w:numId w:val="44"/>
        </w:numPr>
        <w:spacing w:before="40"/>
        <w:rPr>
          <w:rFonts w:ascii="Arial" w:hAnsi="Arial" w:cs="Arial"/>
          <w:sz w:val="22"/>
        </w:rPr>
      </w:pPr>
      <w:r>
        <w:rPr>
          <w:rFonts w:ascii="Arial" w:hAnsi="Arial" w:cs="Arial"/>
          <w:sz w:val="22"/>
        </w:rPr>
        <w:t>modalité de service </w:t>
      </w:r>
    </w:p>
    <w:p>
      <w:pPr>
        <w:pStyle w:val="CORPSDETEXTEDICO"/>
        <w:numPr>
          <w:ilvl w:val="0"/>
          <w:numId w:val="44"/>
        </w:numPr>
        <w:spacing w:before="40"/>
        <w:rPr>
          <w:rFonts w:ascii="Arial" w:hAnsi="Arial" w:cs="Arial"/>
          <w:sz w:val="22"/>
        </w:rPr>
      </w:pPr>
      <w:r>
        <w:rPr>
          <w:rFonts w:ascii="Arial" w:hAnsi="Arial" w:cs="Arial"/>
          <w:sz w:val="22"/>
        </w:rPr>
        <w:t>position </w:t>
      </w:r>
    </w:p>
    <w:p>
      <w:pPr>
        <w:pStyle w:val="CORPSDETEXTEDICO"/>
        <w:numPr>
          <w:ilvl w:val="0"/>
          <w:numId w:val="44"/>
        </w:numPr>
        <w:spacing w:before="40"/>
        <w:rPr>
          <w:rFonts w:ascii="Arial" w:hAnsi="Arial" w:cs="Arial"/>
          <w:sz w:val="22"/>
        </w:rPr>
      </w:pPr>
      <w:r>
        <w:rPr>
          <w:rFonts w:ascii="Arial" w:hAnsi="Arial" w:cs="Arial"/>
          <w:sz w:val="22"/>
        </w:rPr>
        <w:t xml:space="preserve">recrutement </w:t>
      </w:r>
    </w:p>
    <w:p>
      <w:pPr>
        <w:pStyle w:val="CORPSDETEXTEDICO"/>
        <w:numPr>
          <w:ilvl w:val="0"/>
          <w:numId w:val="44"/>
        </w:numPr>
        <w:spacing w:before="40"/>
        <w:rPr>
          <w:rFonts w:ascii="Arial" w:hAnsi="Arial" w:cs="Arial"/>
          <w:sz w:val="22"/>
        </w:rPr>
      </w:pPr>
      <w:r>
        <w:rPr>
          <w:rFonts w:ascii="Arial" w:hAnsi="Arial" w:cs="Arial"/>
          <w:sz w:val="22"/>
        </w:rPr>
        <w:t xml:space="preserve">sanction </w:t>
      </w:r>
    </w:p>
    <w:p>
      <w:pPr>
        <w:pStyle w:val="CORPSDETEXTEDICO"/>
        <w:spacing w:before="120" w:after="120"/>
        <w:ind w:left="1056"/>
        <w:rPr>
          <w:rFonts w:ascii="Arial" w:hAnsi="Arial" w:cs="Arial"/>
          <w:sz w:val="22"/>
        </w:rPr>
      </w:pPr>
      <w:r>
        <w:rPr>
          <w:rFonts w:ascii="Arial" w:hAnsi="Arial" w:cs="Arial"/>
          <w:sz w:val="22"/>
        </w:rPr>
        <w:t>Des sous-dossiers « Titulaire », « Stagiaire », « Contractuel » et « Ouvrier » sont présents pour chacune des natures d’acte.</w:t>
      </w:r>
    </w:p>
    <w:p>
      <w:pPr>
        <w:pStyle w:val="CORPSDETEXTEDICO"/>
        <w:spacing w:before="120" w:after="120"/>
        <w:ind w:left="1056"/>
        <w:rPr>
          <w:rFonts w:ascii="Arial" w:hAnsi="Arial" w:cs="Arial"/>
          <w:sz w:val="22"/>
        </w:rPr>
      </w:pPr>
      <w:r>
        <w:rPr>
          <w:rFonts w:ascii="Arial" w:hAnsi="Arial" w:cs="Arial"/>
          <w:sz w:val="22"/>
        </w:rPr>
        <w:t xml:space="preserve">Les modèles figurant dans le sous-répertoire « Documentaire » regroupent deux types de documents : </w:t>
      </w:r>
    </w:p>
    <w:p>
      <w:pPr>
        <w:pStyle w:val="CORPSDETEXTEDICO"/>
        <w:numPr>
          <w:ilvl w:val="0"/>
          <w:numId w:val="45"/>
        </w:numPr>
        <w:spacing w:before="40"/>
        <w:rPr>
          <w:rFonts w:ascii="Arial" w:hAnsi="Arial" w:cs="Arial"/>
          <w:sz w:val="22"/>
        </w:rPr>
      </w:pPr>
      <w:r>
        <w:rPr>
          <w:rFonts w:ascii="Arial" w:hAnsi="Arial" w:cs="Arial"/>
          <w:sz w:val="22"/>
        </w:rPr>
        <w:t>des modèles d’actes avec une extension « .doc » : il s’agit des modèles d’actes validés uniquement sous leur format documentaire,</w:t>
      </w:r>
    </w:p>
    <w:p>
      <w:pPr>
        <w:pStyle w:val="CORPSDETEXTEDICO"/>
        <w:numPr>
          <w:ilvl w:val="0"/>
          <w:numId w:val="45"/>
        </w:numPr>
        <w:spacing w:before="40"/>
        <w:rPr>
          <w:rFonts w:ascii="Arial" w:hAnsi="Arial" w:cs="Arial"/>
          <w:sz w:val="22"/>
        </w:rPr>
      </w:pPr>
      <w:r>
        <w:rPr>
          <w:rFonts w:ascii="Arial" w:hAnsi="Arial" w:cs="Arial"/>
          <w:sz w:val="22"/>
        </w:rPr>
        <w:t>des modèles d’actes avec une extension « .pdf » : il s’agit des modèles d’actes documentaires validés et modélisés dans INGRES. Ils sont édités à partir de l’outil.</w:t>
      </w:r>
    </w:p>
    <w:p>
      <w:pPr>
        <w:pStyle w:val="CORPSDETEXTEDICO"/>
        <w:spacing w:before="120" w:after="120"/>
        <w:ind w:left="1056"/>
        <w:rPr>
          <w:rFonts w:ascii="Arial" w:hAnsi="Arial" w:cs="Arial"/>
          <w:sz w:val="22"/>
        </w:rPr>
      </w:pPr>
      <w:r>
        <w:rPr>
          <w:rFonts w:ascii="Arial" w:hAnsi="Arial" w:cs="Arial"/>
          <w:sz w:val="22"/>
        </w:rPr>
        <w:t>Deux modèles CERFA sont disponibles dans le sous-dossier « Contractuel » du dossier nature « recrutement », à savoir :</w:t>
      </w:r>
    </w:p>
    <w:p>
      <w:pPr>
        <w:pStyle w:val="CORPSDETEXTEDICO"/>
        <w:numPr>
          <w:ilvl w:val="0"/>
          <w:numId w:val="46"/>
        </w:numPr>
        <w:spacing w:before="40"/>
        <w:rPr>
          <w:rFonts w:ascii="Arial" w:hAnsi="Arial" w:cs="Arial"/>
          <w:sz w:val="22"/>
        </w:rPr>
      </w:pPr>
      <w:r>
        <w:rPr>
          <w:rFonts w:ascii="Arial" w:hAnsi="Arial" w:cs="Arial"/>
          <w:sz w:val="22"/>
        </w:rPr>
        <w:t>PACTE_CERFA</w:t>
      </w:r>
    </w:p>
    <w:p>
      <w:pPr>
        <w:pStyle w:val="CORPSDETEXTEDICO"/>
        <w:numPr>
          <w:ilvl w:val="0"/>
          <w:numId w:val="46"/>
        </w:numPr>
        <w:spacing w:before="40"/>
        <w:rPr>
          <w:rFonts w:ascii="Arial" w:hAnsi="Arial" w:cs="Arial"/>
          <w:sz w:val="22"/>
        </w:rPr>
      </w:pPr>
      <w:r>
        <w:rPr>
          <w:rFonts w:ascii="Arial" w:hAnsi="Arial" w:cs="Arial"/>
          <w:sz w:val="22"/>
        </w:rPr>
        <w:t>Contrat apprentissage_CERFA</w:t>
      </w:r>
    </w:p>
    <w:p>
      <w:pPr>
        <w:pStyle w:val="CORPSDETEXTEDICO"/>
        <w:spacing w:before="40"/>
        <w:rPr>
          <w:rFonts w:ascii="Arial" w:hAnsi="Arial" w:cs="Arial"/>
          <w:sz w:val="22"/>
        </w:rPr>
      </w:pPr>
    </w:p>
    <w:p>
      <w:pPr>
        <w:pStyle w:val="CORPSDETEXTEDICO"/>
        <w:spacing w:before="0"/>
        <w:ind w:left="1080"/>
        <w:rPr>
          <w:rFonts w:ascii="Arial" w:hAnsi="Arial" w:cs="Arial"/>
          <w:sz w:val="22"/>
        </w:rPr>
      </w:pPr>
      <w:r>
        <w:rPr>
          <w:rFonts w:ascii="Arial" w:hAnsi="Arial" w:cs="Arial"/>
          <w:sz w:val="22"/>
        </w:rPr>
        <w:t>Le sous répertoire « Documentaire » contient aussi les fichiers suivants :</w:t>
      </w:r>
    </w:p>
    <w:p>
      <w:pPr>
        <w:pStyle w:val="CORPSDETEXTEDICO"/>
        <w:numPr>
          <w:ilvl w:val="0"/>
          <w:numId w:val="47"/>
        </w:numPr>
        <w:spacing w:before="40"/>
        <w:rPr>
          <w:rFonts w:ascii="Arial" w:hAnsi="Arial" w:cs="Arial"/>
          <w:sz w:val="22"/>
        </w:rPr>
      </w:pPr>
      <w:r>
        <w:rPr>
          <w:rFonts w:ascii="Arial" w:hAnsi="Arial" w:cs="Arial"/>
          <w:sz w:val="22"/>
        </w:rPr>
        <w:t>le parcours de l’agent fonctionnaire (schéma interactif permettant de connaître l’acte administratif à employer pour un évènement de gestion au cours de la carrière d’un agent titulaire)</w:t>
      </w:r>
    </w:p>
    <w:p>
      <w:pPr>
        <w:pStyle w:val="CORPSDETEXTEDICO"/>
        <w:numPr>
          <w:ilvl w:val="0"/>
          <w:numId w:val="47"/>
        </w:numPr>
        <w:spacing w:before="40"/>
        <w:rPr>
          <w:rFonts w:ascii="Arial" w:hAnsi="Arial" w:cs="Arial"/>
          <w:sz w:val="22"/>
        </w:rPr>
      </w:pPr>
      <w:r>
        <w:rPr>
          <w:rFonts w:ascii="Arial" w:hAnsi="Arial" w:cs="Arial"/>
          <w:sz w:val="22"/>
        </w:rPr>
        <w:t>la vie de l’agent contractuel dans la FPE (schéma interactif permettant de connaître l’acte administratif à employer pour un évènement de gestion au cours de la carrière d’un agent contractuel)</w:t>
      </w:r>
    </w:p>
    <w:p>
      <w:pPr>
        <w:pStyle w:val="CORPSDETEXTEDICO"/>
        <w:numPr>
          <w:ilvl w:val="0"/>
          <w:numId w:val="47"/>
        </w:numPr>
        <w:spacing w:before="40"/>
        <w:rPr>
          <w:rFonts w:ascii="Arial" w:hAnsi="Arial" w:cs="Arial"/>
          <w:sz w:val="22"/>
        </w:rPr>
      </w:pPr>
      <w:r>
        <w:rPr>
          <w:rFonts w:ascii="Arial" w:hAnsi="Arial" w:cs="Arial"/>
          <w:sz w:val="22"/>
        </w:rPr>
        <w:t>le guide de rédaction des actes administratifs</w:t>
      </w:r>
    </w:p>
    <w:p>
      <w:pPr>
        <w:pStyle w:val="CORPSDETEXTEDICO"/>
        <w:spacing w:before="40"/>
        <w:ind w:left="1203"/>
        <w:rPr>
          <w:rFonts w:ascii="Arial" w:hAnsi="Arial" w:cs="Arial"/>
          <w:sz w:val="22"/>
        </w:rPr>
      </w:pPr>
    </w:p>
    <w:p>
      <w:pPr>
        <w:pStyle w:val="CORPSDETEXTEDICO"/>
        <w:numPr>
          <w:ilvl w:val="0"/>
          <w:numId w:val="7"/>
        </w:numPr>
        <w:spacing w:before="0"/>
        <w:rPr>
          <w:rFonts w:ascii="Arial" w:hAnsi="Arial" w:cs="Arial"/>
          <w:sz w:val="22"/>
        </w:rPr>
      </w:pPr>
      <w:r>
        <w:rPr>
          <w:rFonts w:ascii="Arial" w:hAnsi="Arial" w:cs="Arial"/>
          <w:sz w:val="22"/>
        </w:rPr>
        <w:t>Le sous-répertoire « Modélisation » comprend un rapport unique issu de l’application INGRES correspondant aux  actes modélisés. Il est possible de filtrer sur un domaine déterminé grâce à la colonne dédiée (« Domaine »).</w:t>
      </w:r>
    </w:p>
    <w:p>
      <w:pPr>
        <w:pStyle w:val="CORPSDETEXTEDICO"/>
        <w:spacing w:before="0"/>
        <w:rPr>
          <w:rFonts w:ascii="Arial" w:hAnsi="Arial" w:cs="Arial"/>
          <w:sz w:val="22"/>
        </w:rPr>
      </w:pPr>
    </w:p>
    <w:p>
      <w:pPr>
        <w:ind w:left="284"/>
        <w:jc w:val="both"/>
        <w:rPr>
          <w:rFonts w:ascii="Arial" w:eastAsia="Times New Roman" w:hAnsi="Arial" w:cs="Arial"/>
          <w:szCs w:val="24"/>
          <w:lang w:eastAsia="ar-SA"/>
        </w:rPr>
      </w:pPr>
      <w:r>
        <w:rPr>
          <w:rFonts w:ascii="Arial" w:eastAsia="Times New Roman" w:hAnsi="Arial" w:cs="Arial"/>
          <w:szCs w:val="24"/>
          <w:lang w:eastAsia="ar-SA"/>
        </w:rPr>
        <w:t>Un fichier nommé « listing des actes diffusés_23.10.00 », répertoriant l’ensemble des actes diffusés (documentaires et modélisés), est également associé à cette diffusion.</w:t>
      </w:r>
    </w:p>
    <w:p>
      <w:pPr>
        <w:ind w:left="426"/>
        <w:jc w:val="both"/>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707392" behindDoc="0" locked="0" layoutInCell="1" allowOverlap="1">
                <wp:simplePos x="0" y="0"/>
                <wp:positionH relativeFrom="column">
                  <wp:posOffset>-191135</wp:posOffset>
                </wp:positionH>
                <wp:positionV relativeFrom="paragraph">
                  <wp:posOffset>429260</wp:posOffset>
                </wp:positionV>
                <wp:extent cx="371475" cy="374015"/>
                <wp:effectExtent l="0" t="0" r="47625" b="45085"/>
                <wp:wrapNone/>
                <wp:docPr id="2" name="Flèche courbée vers la droite 2"/>
                <wp:cNvGraphicFramePr/>
                <a:graphic xmlns:a="http://schemas.openxmlformats.org/drawingml/2006/main">
                  <a:graphicData uri="http://schemas.microsoft.com/office/word/2010/wordprocessingShape">
                    <wps:wsp>
                      <wps:cNvSpPr/>
                      <wps:spPr>
                        <a:xfrm>
                          <a:off x="0" y="0"/>
                          <a:ext cx="371475" cy="37401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 o:spid="_x0000_s1026" type="#_x0000_t102" style="position:absolute;margin-left:-15.05pt;margin-top:33.8pt;width:29.25pt;height:29.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" adj="10873,18918,16200" fillcolor="#5b9bd5 [3204]" strokecolor="#1f4d78 [1604]" strokeweight="1pt"/>
            </w:pict>
          </mc:Fallback>
        </mc:AlternateContent>
      </w:r>
      <w:r>
        <w:rPr>
          <w:rFonts w:ascii="Arial" w:hAnsi="Arial" w:cs="Arial"/>
          <w:noProof/>
          <w:lang w:eastAsia="fr-FR"/>
        </w:rPr>
        <w:drawing>
          <wp:anchor distT="0" distB="0" distL="114300" distR="114300" simplePos="0" relativeHeight="251709440" behindDoc="0" locked="0" layoutInCell="1" allowOverlap="1">
            <wp:simplePos x="0" y="0"/>
            <wp:positionH relativeFrom="leftMargin">
              <wp:posOffset>745490</wp:posOffset>
            </wp:positionH>
            <wp:positionV relativeFrom="paragraph">
              <wp:posOffset>-101600</wp:posOffset>
            </wp:positionV>
            <wp:extent cx="319405" cy="319405"/>
            <wp:effectExtent l="0" t="0" r="4445" b="4445"/>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405" cy="319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rPr>
        <w:t>Evolution de la structure des actes d’ « Affectation » mobilisant un tableau contenant la situation ancienne et la situation nouvelle de l’agent</w:t>
      </w:r>
      <w:r>
        <w:rPr>
          <w:rFonts w:ascii="Arial" w:hAnsi="Arial" w:cs="Arial"/>
        </w:rPr>
        <w:t xml:space="preserve">. Cette évolution a consisté à supprimer de ces actes la restitution de l’ancienne carrière. </w:t>
      </w:r>
    </w:p>
    <w:p>
      <w:pPr>
        <w:spacing w:after="0"/>
        <w:ind w:left="426"/>
        <w:jc w:val="both"/>
        <w:rPr>
          <w:rFonts w:ascii="Arial" w:hAnsi="Arial" w:cs="Arial"/>
        </w:rPr>
      </w:pPr>
      <w:r>
        <w:rPr>
          <w:rFonts w:ascii="Arial" w:hAnsi="Arial" w:cs="Arial"/>
        </w:rPr>
        <w:t xml:space="preserve">La rédaction de l’article 1 change car le tableau devient un article en littéral qui trace seulement la nouvelle situation de l’agent. </w:t>
      </w:r>
    </w:p>
    <w:p>
      <w:pPr>
        <w:spacing w:after="0"/>
        <w:ind w:left="426"/>
        <w:jc w:val="both"/>
        <w:rPr>
          <w:rFonts w:ascii="Arial" w:hAnsi="Arial" w:cs="Arial"/>
        </w:rPr>
      </w:pPr>
    </w:p>
    <w:p>
      <w:pPr>
        <w:spacing w:after="0"/>
        <w:ind w:left="426"/>
        <w:jc w:val="both"/>
        <w:rPr>
          <w:rFonts w:ascii="Arial" w:hAnsi="Arial" w:cs="Arial"/>
        </w:rPr>
      </w:pPr>
      <w:r>
        <w:rPr>
          <w:rFonts w:ascii="Arial" w:hAnsi="Arial" w:cs="Arial"/>
          <w:u w:val="single"/>
        </w:rPr>
        <w:t>Remarque</w:t>
      </w:r>
      <w:r>
        <w:rPr>
          <w:rFonts w:ascii="Arial" w:hAnsi="Arial" w:cs="Arial"/>
        </w:rPr>
        <w:t xml:space="preserve"> : </w:t>
      </w:r>
      <w:r>
        <w:rPr>
          <w:rFonts w:ascii="Arial" w:hAnsi="Arial" w:cs="Arial"/>
          <w:i/>
          <w:iCs/>
        </w:rPr>
        <w:t>L’acte INTORG0004 n’est pas concerné compte tenu que la rédaction de son article 1</w:t>
      </w:r>
      <w:r>
        <w:rPr>
          <w:rFonts w:ascii="Arial" w:hAnsi="Arial" w:cs="Arial"/>
          <w:i/>
          <w:iCs/>
          <w:vertAlign w:val="superscript"/>
        </w:rPr>
        <w:t>er</w:t>
      </w:r>
      <w:r>
        <w:rPr>
          <w:rFonts w:ascii="Arial" w:hAnsi="Arial" w:cs="Arial"/>
          <w:i/>
          <w:iCs/>
        </w:rPr>
        <w:t xml:space="preserve"> ne contient pas de tableau.</w:t>
      </w:r>
    </w:p>
    <w:p>
      <w:pPr>
        <w:ind w:left="426"/>
      </w:pPr>
      <w:r>
        <w:rPr>
          <w:noProof/>
          <w:lang w:eastAsia="fr-FR"/>
        </w:rPr>
        <w:drawing>
          <wp:anchor distT="0" distB="0" distL="114300" distR="114300" simplePos="0" relativeHeight="251706368" behindDoc="0" locked="0" layoutInCell="1" allowOverlap="1">
            <wp:simplePos x="0" y="0"/>
            <wp:positionH relativeFrom="column">
              <wp:posOffset>-153670</wp:posOffset>
            </wp:positionH>
            <wp:positionV relativeFrom="paragraph">
              <wp:posOffset>129540</wp:posOffset>
            </wp:positionV>
            <wp:extent cx="389255" cy="389255"/>
            <wp:effectExtent l="0" t="0" r="0" b="0"/>
            <wp:wrapNone/>
            <wp:docPr id="10" name="Image 10" descr="Attention, danger, location, navigation, point, pointer, warning icon"/>
            <wp:cNvGraphicFramePr/>
            <a:graphic xmlns:a="http://schemas.openxmlformats.org/drawingml/2006/main">
              <a:graphicData uri="http://schemas.openxmlformats.org/drawingml/2006/picture">
                <pic:pic xmlns:pic="http://schemas.openxmlformats.org/drawingml/2006/picture">
                  <pic:nvPicPr>
                    <pic:cNvPr id="4" name="Image 4" descr="Attention, danger, location, navigation, point, pointer, warning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anchor>
        </w:drawing>
      </w:r>
    </w:p>
    <w:p>
      <w:pPr>
        <w:ind w:left="426"/>
        <w:jc w:val="both"/>
        <w:rPr>
          <w:rFonts w:ascii="Arial" w:hAnsi="Arial" w:cs="Arial"/>
        </w:rPr>
      </w:pPr>
      <w:r>
        <w:rPr>
          <w:b/>
          <w:noProof/>
          <w:lang w:eastAsia="fr-FR"/>
        </w:rPr>
        <mc:AlternateContent>
          <mc:Choice Requires="wps">
            <w:drawing>
              <wp:anchor distT="0" distB="0" distL="114300" distR="114300" simplePos="0" relativeHeight="251705344" behindDoc="0" locked="0" layoutInCell="1" allowOverlap="1">
                <wp:simplePos x="0" y="0"/>
                <wp:positionH relativeFrom="leftMargin">
                  <wp:posOffset>801370</wp:posOffset>
                </wp:positionH>
                <wp:positionV relativeFrom="paragraph">
                  <wp:posOffset>476885</wp:posOffset>
                </wp:positionV>
                <wp:extent cx="164465" cy="382905"/>
                <wp:effectExtent l="5080" t="0" r="12065" b="31115"/>
                <wp:wrapNone/>
                <wp:docPr id="4" name="Flèche à angle droit 12"/>
                <wp:cNvGraphicFramePr/>
                <a:graphic xmlns:a="http://schemas.openxmlformats.org/drawingml/2006/main">
                  <a:graphicData uri="http://schemas.microsoft.com/office/word/2010/wordprocessingShape">
                    <wps:wsp>
                      <wps:cNvSpPr/>
                      <wps:spPr bwMode="auto">
                        <a:xfrm rot="5400000">
                          <a:off x="0" y="0"/>
                          <a:ext cx="164465" cy="382905"/>
                        </a:xfrm>
                        <a:prstGeom prst="bentUpArrow">
                          <a:avLst>
                            <a:gd name="adj1" fmla="val 8444"/>
                            <a:gd name="adj2" fmla="val 25000"/>
                            <a:gd name="adj3" fmla="val 25000"/>
                          </a:avLst>
                        </a:prstGeom>
                        <a:solidFill>
                          <a:schemeClr val="accent1">
                            <a:lumMod val="75000"/>
                          </a:schemeClr>
                        </a:solidFill>
                        <a:ln w="9525" cap="flat" cmpd="sng" algn="ctr">
                          <a:solidFill>
                            <a:srgbClr val="0070C0"/>
                          </a:solid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à angle droit 12" o:spid="_x0000_s1026" style="position:absolute;margin-left:63.1pt;margin-top:37.55pt;width:12.95pt;height:30.15pt;rotation:90;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64465,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" path="m,369018r116405,l116405,41116r-34172,l123349,r41116,41116l130292,41116r,341789l,382905,,369018xe" fillcolor="#2e74b5 [2404]" strokecolor="#0070c0">
                <v:path arrowok="t" o:connecttype="custom" o:connectlocs="0,369018;116405,369018;116405,41116;82233,41116;123349,0;164465,41116;130292,41116;130292,382905;0,382905;0,369018" o:connectangles="0,0,0,0,0,0,0,0,0,0"/>
                <w10:wrap anchorx="margin"/>
              </v:shape>
            </w:pict>
          </mc:Fallback>
        </mc:AlternateContent>
      </w:r>
      <w:r>
        <w:rPr>
          <w:rFonts w:ascii="Arial" w:hAnsi="Arial" w:cs="Arial"/>
          <w:b/>
        </w:rPr>
        <w:t>Information</w:t>
      </w:r>
      <w:r>
        <w:rPr>
          <w:rFonts w:ascii="Arial" w:hAnsi="Arial" w:cs="Arial"/>
        </w:rPr>
        <w:t xml:space="preserve">: Dans le cadre de la feuille de route SIRH 2023-2027 du ministre de la transformation et de la fonction publique, la DGAFP a organisé plusieurs ateliers de simplification liés à la RH. Un des axes de simplification porte sur les actes administratifs. </w:t>
      </w:r>
    </w:p>
    <w:p>
      <w:pPr>
        <w:ind w:left="426"/>
        <w:jc w:val="both"/>
        <w:rPr>
          <w:rFonts w:ascii="Arial" w:hAnsi="Arial" w:cs="Arial"/>
        </w:rPr>
      </w:pPr>
      <w:r>
        <w:rPr>
          <w:rFonts w:ascii="Arial" w:hAnsi="Arial" w:cs="Arial"/>
        </w:rPr>
        <w:t>Dans cette perspective, le CISIRH a alors mené des travaux orientés sur deux axes de simplification des actes de la BDA, à savoir :</w:t>
      </w:r>
    </w:p>
    <w:p>
      <w:pPr>
        <w:pStyle w:val="Paragraphedeliste"/>
        <w:numPr>
          <w:ilvl w:val="0"/>
          <w:numId w:val="49"/>
        </w:numPr>
        <w:jc w:val="both"/>
        <w:rPr>
          <w:rFonts w:ascii="Arial" w:hAnsi="Arial" w:cs="Arial"/>
        </w:rPr>
      </w:pPr>
      <w:r>
        <w:rPr>
          <w:rFonts w:ascii="Arial" w:hAnsi="Arial" w:cs="Arial"/>
        </w:rPr>
        <w:t>l’amélioration des visas,</w:t>
      </w:r>
    </w:p>
    <w:p>
      <w:pPr>
        <w:pStyle w:val="Paragraphedeliste"/>
        <w:numPr>
          <w:ilvl w:val="0"/>
          <w:numId w:val="49"/>
        </w:numPr>
        <w:jc w:val="both"/>
        <w:rPr>
          <w:rFonts w:ascii="Arial" w:hAnsi="Arial" w:cs="Arial"/>
        </w:rPr>
      </w:pPr>
      <w:r>
        <w:rPr>
          <w:rFonts w:ascii="Arial" w:hAnsi="Arial" w:cs="Arial"/>
        </w:rPr>
        <w:t>l’amélioration des articles.</w:t>
      </w:r>
    </w:p>
    <w:p>
      <w:pPr>
        <w:ind w:left="426"/>
        <w:jc w:val="both"/>
        <w:rPr>
          <w:rFonts w:ascii="Arial" w:hAnsi="Arial" w:cs="Arial"/>
        </w:rPr>
      </w:pPr>
      <w:r>
        <w:rPr>
          <w:rFonts w:ascii="Arial" w:hAnsi="Arial" w:cs="Arial"/>
        </w:rPr>
        <w:t>Les travaux sur ces 2 axes ont respectivement été présentés et étudiés en groupe de travail interministériel des 4 juillet 2023 et 21 novembre 2023. Les actes de la présente diffusion tiennent compte des décisions validées lors de ces 2 séances.</w:t>
      </w:r>
    </w:p>
    <w:p>
      <w:pPr>
        <w:ind w:left="284"/>
        <w:jc w:val="both"/>
        <w:rPr>
          <w:rFonts w:ascii="Arial" w:eastAsia="Times New Roman" w:hAnsi="Arial" w:cs="Arial"/>
          <w:b/>
          <w:bCs/>
          <w:szCs w:val="24"/>
          <w:lang w:eastAsia="ar-SA"/>
        </w:rPr>
      </w:pPr>
      <w:r>
        <w:rPr>
          <w:rFonts w:ascii="Arial" w:eastAsia="Times New Roman" w:hAnsi="Arial" w:cs="Arial"/>
          <w:b/>
          <w:bCs/>
          <w:noProof/>
          <w:szCs w:val="24"/>
          <w:lang w:eastAsia="ar-SA"/>
        </w:rPr>
        <mc:AlternateContent>
          <mc:Choice Requires="wps">
            <w:drawing>
              <wp:anchor distT="0" distB="0" distL="114300" distR="114300" simplePos="0" relativeHeight="251723776" behindDoc="0" locked="0" layoutInCell="1" allowOverlap="1">
                <wp:simplePos x="0" y="0"/>
                <wp:positionH relativeFrom="column">
                  <wp:posOffset>-261620</wp:posOffset>
                </wp:positionH>
                <wp:positionV relativeFrom="paragraph">
                  <wp:posOffset>33020</wp:posOffset>
                </wp:positionV>
                <wp:extent cx="371475" cy="114300"/>
                <wp:effectExtent l="0" t="19050" r="47625" b="38100"/>
                <wp:wrapNone/>
                <wp:docPr id="7" name="Flèche : droite 7"/>
                <wp:cNvGraphicFramePr/>
                <a:graphic xmlns:a="http://schemas.openxmlformats.org/drawingml/2006/main">
                  <a:graphicData uri="http://schemas.microsoft.com/office/word/2010/wordprocessingShape">
                    <wps:wsp>
                      <wps:cNvSpPr/>
                      <wps:spPr>
                        <a:xfrm>
                          <a:off x="0" y="0"/>
                          <a:ext cx="371475" cy="1143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6" type="#_x0000_t13" style="position:absolute;margin-left:-20.6pt;margin-top:2.6pt;width:29.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" adj="18277" fillcolor="red" strokecolor="#1f4d78 [1604]" strokeweight="1pt"/>
            </w:pict>
          </mc:Fallback>
        </mc:AlternateContent>
      </w:r>
      <w:r>
        <w:rPr>
          <w:rFonts w:ascii="Arial" w:eastAsia="Times New Roman" w:hAnsi="Arial" w:cs="Arial"/>
          <w:b/>
          <w:bCs/>
          <w:szCs w:val="24"/>
          <w:lang w:eastAsia="ar-SA"/>
        </w:rPr>
        <w:t>Retour sur l’acte portant congé bonifié pour la population des ouvriers (INTABS0047) :</w:t>
      </w:r>
    </w:p>
    <w:p>
      <w:pPr>
        <w:pStyle w:val="Paragraphedeliste"/>
        <w:numPr>
          <w:ilvl w:val="0"/>
          <w:numId w:val="50"/>
        </w:numPr>
        <w:ind w:left="426"/>
        <w:jc w:val="both"/>
        <w:rPr>
          <w:rFonts w:ascii="Arial" w:hAnsi="Arial" w:cs="Arial"/>
        </w:rPr>
      </w:pPr>
      <w:r>
        <w:rPr>
          <w:rFonts w:ascii="Arial" w:eastAsia="Times New Roman" w:hAnsi="Arial" w:cs="Arial"/>
          <w:szCs w:val="24"/>
          <w:lang w:eastAsia="ar-SA"/>
        </w:rPr>
        <w:t>Cet acte avait été proposé à la relecture des ministères via l’espace collaboratif hOPPER en 2021 dans le lot n°3. Le CISIRH avait pris en compte les retours des ministères mais ne l’avait pas proposé en version validée pour diffusion suite à un retour de la DGAFP qui avait précisé que cette population ne rentrait dans le périmètre des bénéficiaires. Or, une récente instruction a été menée par la DGAFP, suite à une demande du ministère des armées, dans laquelle elle rappelle que d’un point de vue statutaire les ouvriers de l’Etat sont considérés comme des agents publics (confère diverses jurisprudences abondantes et constantes en la matière, par exemple : CE du 22 février 2008, n°278476). Aussi, la DGAFP indique que dès lors que les règles de recrutement des ouvriers de l’Etat d’un ministère prévoient la signature d’un contrat à durée indéterminée pour acter leur engagement de servir, ces personnels relèvent alors du périmètre des bénéficiaires des dispositions prévues par le décret n°78-399 du 20 mars 1978 relatif à la prise en charge des frais de voyage du congé magistrats, aux fonctionnaires civils de l'État et aux agents publics de l'Etat recrutés en contrat à durée indéterminée. L’acte INTABS0047_</w:t>
      </w:r>
      <w:r>
        <w:t xml:space="preserve"> </w:t>
      </w:r>
      <w:r>
        <w:rPr>
          <w:rFonts w:ascii="Arial" w:eastAsia="Times New Roman" w:hAnsi="Arial" w:cs="Arial"/>
          <w:szCs w:val="24"/>
          <w:lang w:eastAsia="ar-SA"/>
        </w:rPr>
        <w:t>Congé_Bonifié (O) est donc désormais diffusé dans la BDA, il a été mis à jour au regard des dernières évolutions liées à des choix de rédaction et des évolutions réglementaires.</w:t>
      </w:r>
    </w:p>
    <w:p>
      <w:pPr>
        <w:pStyle w:val="Paragraphedeliste"/>
        <w:ind w:left="426"/>
        <w:jc w:val="both"/>
        <w:rPr>
          <w:rFonts w:ascii="Arial" w:hAnsi="Arial" w:cs="Arial"/>
        </w:rPr>
      </w:pPr>
    </w:p>
    <w:p>
      <w:pPr>
        <w:pBdr>
          <w:top w:val="single" w:sz="4" w:space="1" w:color="auto"/>
          <w:left w:val="single" w:sz="4" w:space="4" w:color="auto"/>
          <w:bottom w:val="single" w:sz="4" w:space="1" w:color="auto"/>
          <w:right w:val="single" w:sz="4" w:space="4" w:color="auto"/>
        </w:pBdr>
        <w:ind w:left="426"/>
        <w:jc w:val="both"/>
        <w:rPr>
          <w:rFonts w:ascii="Arial" w:hAnsi="Arial" w:cs="Arial"/>
        </w:rPr>
      </w:pPr>
      <w:r>
        <w:rPr>
          <w:rFonts w:ascii="Arial" w:hAnsi="Arial" w:cs="Arial"/>
          <w:bCs/>
          <w:iCs/>
        </w:rPr>
        <w:t xml:space="preserve">L’ensemble des référentiels du Noyau RH FPE est accessible à l’adresse suivante : </w:t>
      </w:r>
      <w:hyperlink r:id="rId13" w:history="1">
        <w:r>
          <w:rPr>
            <w:rStyle w:val="Lienhypertexte"/>
            <w:rFonts w:ascii="Arial" w:hAnsi="Arial" w:cs="Arial"/>
            <w:color w:val="auto"/>
          </w:rPr>
          <w:t>https://hopper.cisirh.budget.gouv.fr</w:t>
        </w:r>
      </w:hyperlink>
      <w:r>
        <w:rPr>
          <w:rStyle w:val="Lienhypertexte"/>
          <w:rFonts w:ascii="Arial" w:hAnsi="Arial" w:cs="Arial"/>
          <w:color w:val="auto"/>
        </w:rPr>
        <w:t xml:space="preserve">. </w:t>
      </w:r>
      <w:r>
        <w:rPr>
          <w:rFonts w:ascii="Arial" w:hAnsi="Arial" w:cs="Arial"/>
        </w:rPr>
        <w:t xml:space="preserve">Le contenu des nomenclatures et le dictionnaire des données peuvent être consultés dans l’outil INGRES à l’adresse suivante : </w:t>
      </w:r>
    </w:p>
    <w:p>
      <w:pPr>
        <w:pBdr>
          <w:top w:val="single" w:sz="4" w:space="1" w:color="auto"/>
          <w:left w:val="single" w:sz="4" w:space="4" w:color="auto"/>
          <w:bottom w:val="single" w:sz="4" w:space="1" w:color="auto"/>
          <w:right w:val="single" w:sz="4" w:space="4" w:color="auto"/>
        </w:pBdr>
        <w:ind w:left="426"/>
        <w:jc w:val="both"/>
        <w:rPr>
          <w:rFonts w:ascii="Arial" w:hAnsi="Arial" w:cs="Arial"/>
        </w:rPr>
      </w:pPr>
      <w:hyperlink r:id="rId14" w:history="1">
        <w:r>
          <w:rPr>
            <w:rStyle w:val="Lienhypertexte"/>
            <w:rFonts w:ascii="Arial" w:hAnsi="Arial" w:cs="Arial"/>
            <w:color w:val="auto"/>
          </w:rPr>
          <w:t>https://portail.cisirh.rie.gouv.fr/</w:t>
        </w:r>
      </w:hyperlink>
      <w:r>
        <w:rPr>
          <w:rFonts w:ascii="Arial" w:hAnsi="Arial" w:cs="Arial"/>
        </w:rPr>
        <w:t xml:space="preserve"> (portail d’authentification automatique) </w:t>
      </w:r>
    </w:p>
    <w:p>
      <w:pPr>
        <w:pBdr>
          <w:top w:val="single" w:sz="4" w:space="1" w:color="auto"/>
          <w:left w:val="single" w:sz="4" w:space="4" w:color="auto"/>
          <w:bottom w:val="single" w:sz="4" w:space="1" w:color="auto"/>
          <w:right w:val="single" w:sz="4" w:space="4" w:color="auto"/>
        </w:pBdr>
        <w:ind w:left="426"/>
        <w:jc w:val="both"/>
        <w:rPr>
          <w:rFonts w:ascii="Arial" w:hAnsi="Arial" w:cs="Arial"/>
        </w:rPr>
      </w:pPr>
      <w:r>
        <w:rPr>
          <w:rFonts w:ascii="Arial" w:hAnsi="Arial" w:cs="Arial"/>
        </w:rPr>
        <w:t xml:space="preserve">Cette nouvelle version intermédiaire du Noyau RH FPE est aussi mise à disposition en open data sur les portails </w:t>
      </w:r>
      <w:hyperlink r:id="rId15" w:history="1">
        <w:r>
          <w:rPr>
            <w:rStyle w:val="Lienhypertexte"/>
            <w:rFonts w:ascii="Arial" w:hAnsi="Arial" w:cs="Arial"/>
            <w:color w:val="auto"/>
          </w:rPr>
          <w:t>https://data.economie.gouv.fr</w:t>
        </w:r>
      </w:hyperlink>
      <w:r>
        <w:rPr>
          <w:rFonts w:ascii="Arial" w:hAnsi="Arial" w:cs="Arial"/>
        </w:rPr>
        <w:t xml:space="preserve">, et </w:t>
      </w:r>
      <w:hyperlink r:id="rId16" w:history="1">
        <w:r>
          <w:rPr>
            <w:rStyle w:val="Lienhypertexte"/>
            <w:rFonts w:ascii="Arial" w:hAnsi="Arial" w:cs="Arial"/>
            <w:color w:val="auto"/>
          </w:rPr>
          <w:t>https://www.data.gouv.fr</w:t>
        </w:r>
      </w:hyperlink>
      <w:r>
        <w:rPr>
          <w:rStyle w:val="Lienhypertexte"/>
          <w:rFonts w:ascii="Arial" w:hAnsi="Arial" w:cs="Arial"/>
          <w:color w:val="auto"/>
        </w:rPr>
        <w:t>.</w:t>
      </w:r>
    </w:p>
    <w:p>
      <w:pPr>
        <w:ind w:left="426"/>
        <w:rPr>
          <w:rFonts w:ascii="Arial" w:hAnsi="Arial" w:cs="Arial"/>
          <w:bCs/>
          <w:iCs/>
          <w:sz w:val="20"/>
          <w:szCs w:val="20"/>
        </w:rPr>
      </w:pPr>
    </w:p>
    <w:p>
      <w:pPr>
        <w:pBdr>
          <w:top w:val="single" w:sz="4" w:space="1" w:color="auto"/>
          <w:left w:val="single" w:sz="4" w:space="4" w:color="auto"/>
          <w:bottom w:val="single" w:sz="4" w:space="1" w:color="auto"/>
          <w:right w:val="single" w:sz="4" w:space="4" w:color="auto"/>
        </w:pBdr>
        <w:ind w:left="426"/>
        <w:jc w:val="both"/>
        <w:rPr>
          <w:rFonts w:ascii="Arial" w:hAnsi="Arial" w:cs="Arial"/>
          <w:bCs/>
          <w:iCs/>
        </w:rPr>
      </w:pPr>
      <w:r>
        <w:rPr>
          <w:rFonts w:ascii="Arial" w:hAnsi="Arial" w:cs="Arial"/>
          <w:bCs/>
          <w:iCs/>
        </w:rPr>
        <w:t xml:space="preserve">L’ensemble des référentiels du Noyau RH FPE sera consultable sur le portail </w:t>
      </w:r>
      <w:r>
        <w:rPr>
          <w:rFonts w:ascii="Arial" w:hAnsi="Arial" w:cs="Arial"/>
          <w:b/>
          <w:bCs/>
          <w:iCs/>
        </w:rPr>
        <w:t>PissaRHo</w:t>
      </w:r>
      <w:r>
        <w:rPr>
          <w:rFonts w:ascii="Arial" w:hAnsi="Arial" w:cs="Arial"/>
          <w:bCs/>
          <w:iCs/>
        </w:rPr>
        <w:t xml:space="preserve"> du CISIRH </w:t>
      </w:r>
      <w:hyperlink r:id="rId17" w:history="1">
        <w:r>
          <w:rPr>
            <w:rStyle w:val="Lienhypertexte"/>
            <w:rFonts w:ascii="Arial" w:hAnsi="Arial" w:cs="Arial"/>
            <w:color w:val="auto"/>
          </w:rPr>
          <w:t>https://pissarho.cisirh.rie.gouv.fr</w:t>
        </w:r>
      </w:hyperlink>
      <w:r>
        <w:rPr>
          <w:rFonts w:ascii="Arial" w:hAnsi="Arial" w:cs="Arial"/>
          <w:bCs/>
          <w:iCs/>
        </w:rPr>
        <w:t>.</w:t>
      </w:r>
    </w:p>
    <w:p>
      <w:pPr>
        <w:pBdr>
          <w:top w:val="single" w:sz="4" w:space="1" w:color="auto"/>
          <w:left w:val="single" w:sz="4" w:space="4" w:color="auto"/>
          <w:bottom w:val="single" w:sz="4" w:space="1" w:color="auto"/>
          <w:right w:val="single" w:sz="4" w:space="4" w:color="auto"/>
        </w:pBdr>
        <w:ind w:left="426"/>
        <w:jc w:val="both"/>
        <w:rPr>
          <w:rFonts w:ascii="Arial" w:hAnsi="Arial" w:cs="Arial"/>
          <w:bCs/>
          <w:iCs/>
        </w:rPr>
      </w:pPr>
      <w:r>
        <w:rPr>
          <w:rFonts w:ascii="Arial" w:hAnsi="Arial" w:cs="Arial"/>
          <w:bCs/>
          <w:iCs/>
        </w:rPr>
        <w:t>Ces référentiels sont complétés par les documents (Guide des pièces justificatives, fiches RH,…) validés dans le cadre des groupes de travail du réseau interministériel</w:t>
      </w:r>
      <w:r>
        <w:t xml:space="preserve"> </w:t>
      </w:r>
      <w:r>
        <w:rPr>
          <w:rFonts w:ascii="Arial" w:hAnsi="Arial" w:cs="Arial"/>
          <w:bCs/>
          <w:iCs/>
        </w:rPr>
        <w:t>de modernisation RH.</w:t>
      </w:r>
    </w:p>
    <w:p>
      <w:pPr>
        <w:pBdr>
          <w:top w:val="single" w:sz="4" w:space="1" w:color="auto"/>
          <w:left w:val="single" w:sz="4" w:space="4" w:color="auto"/>
          <w:bottom w:val="single" w:sz="4" w:space="1" w:color="auto"/>
          <w:right w:val="single" w:sz="4" w:space="4" w:color="auto"/>
        </w:pBdr>
        <w:ind w:left="426"/>
        <w:jc w:val="both"/>
        <w:rPr>
          <w:rFonts w:ascii="Arial" w:hAnsi="Arial" w:cs="Arial"/>
          <w:bCs/>
          <w:iCs/>
        </w:rPr>
      </w:pPr>
      <w:r>
        <w:rPr>
          <w:rFonts w:ascii="Arial" w:hAnsi="Arial" w:cs="Arial"/>
          <w:bCs/>
          <w:iCs/>
        </w:rPr>
        <w:t>A noter que le plan de classement des informations présentées dans PissaRHo est différent de celui défini sur hOPPER.</w:t>
      </w:r>
    </w:p>
    <w:p>
      <w:pPr>
        <w:pStyle w:val="Titre1"/>
      </w:pPr>
      <w:bookmarkStart w:id="32" w:name="_Toc18679682"/>
      <w:bookmarkStart w:id="33" w:name="_Toc157084300"/>
      <w:r>
        <w:t>Diffusion</w:t>
      </w:r>
      <w:bookmarkEnd w:id="32"/>
      <w:bookmarkEnd w:id="33"/>
    </w:p>
    <w:p>
      <w:pPr>
        <w:pStyle w:val="CORPSDETEXTEDICO"/>
        <w:spacing w:before="120" w:after="120"/>
        <w:ind w:left="360"/>
        <w:rPr>
          <w:rFonts w:ascii="Arial" w:hAnsi="Arial" w:cs="Arial"/>
          <w:sz w:val="22"/>
        </w:rPr>
      </w:pPr>
      <w:r>
        <w:rPr>
          <w:rFonts w:ascii="Arial" w:hAnsi="Arial" w:cs="Arial"/>
          <w:sz w:val="22"/>
        </w:rPr>
        <w:t>Les nomenclatures du Noyau RH FPE sont diffusées par INGRES au format xml et mises à disposition des ministères.</w:t>
      </w:r>
    </w:p>
    <w:p>
      <w:pPr>
        <w:pStyle w:val="CORPSDETEXTEDICO"/>
        <w:spacing w:before="120" w:after="120"/>
        <w:ind w:left="360"/>
        <w:rPr>
          <w:rFonts w:ascii="Arial" w:hAnsi="Arial" w:cs="Arial"/>
          <w:sz w:val="22"/>
        </w:rPr>
      </w:pPr>
      <w:r>
        <w:rPr>
          <w:rFonts w:ascii="Arial" w:hAnsi="Arial" w:cs="Arial"/>
          <w:sz w:val="22"/>
        </w:rPr>
        <w:t xml:space="preserve">Les attributs liés aux valeurs des nomenclatures qui ne sont pas extraits dans le processus de diffusion au format xml (par exemple les commentaires ou le n° de fime) sont consultables depuis l’application INGRES à l’adresse suivante : </w:t>
      </w:r>
      <w:hyperlink r:id="rId18" w:history="1">
        <w:r>
          <w:rPr>
            <w:rStyle w:val="Lienhypertexte"/>
            <w:rFonts w:eastAsiaTheme="majorEastAsia"/>
          </w:rPr>
          <w:t>https://ingres.cisirh.rie.gouv.f</w:t>
        </w:r>
        <w:r>
          <w:rPr>
            <w:rStyle w:val="Lienhypertexte"/>
            <w:rFonts w:ascii="Arial" w:eastAsiaTheme="majorEastAsia" w:hAnsi="Arial" w:cs="Arial"/>
            <w:sz w:val="22"/>
          </w:rPr>
          <w:t>r</w:t>
        </w:r>
      </w:hyperlink>
      <w:r>
        <w:rPr>
          <w:rFonts w:ascii="Arial" w:hAnsi="Arial" w:cs="Arial"/>
          <w:sz w:val="22"/>
        </w:rPr>
        <w:t>.</w:t>
      </w:r>
    </w:p>
    <w:p>
      <w:pPr>
        <w:pStyle w:val="CORPSDETEXTEDICO"/>
        <w:spacing w:before="120" w:after="120"/>
        <w:ind w:left="360"/>
        <w:rPr>
          <w:rFonts w:ascii="Arial" w:hAnsi="Arial" w:cs="Arial"/>
          <w:sz w:val="22"/>
        </w:rPr>
      </w:pPr>
    </w:p>
    <w:p>
      <w:pPr>
        <w:pStyle w:val="CORPSDETEXTEDICO"/>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rPr>
      </w:pPr>
      <w:r>
        <w:rPr>
          <w:rFonts w:ascii="Arial" w:hAnsi="Arial" w:cs="Arial"/>
          <w:sz w:val="22"/>
        </w:rPr>
        <w:t xml:space="preserve">L’ensemble des évolutions des nomenclatures est diffusé en mode différentiel et en mode complet à destination des SIRH au format des versions du Noyau, 21.00.00, 22.00.00 et 23.00.00 uniquement. </w:t>
      </w:r>
    </w:p>
    <w:p>
      <w:pPr>
        <w:pStyle w:val="CORPSDETEXTEDICO"/>
        <w:spacing w:before="120" w:after="120"/>
        <w:ind w:left="360"/>
        <w:rPr>
          <w:rFonts w:ascii="Arial" w:hAnsi="Arial" w:cs="Arial"/>
          <w:sz w:val="22"/>
        </w:rPr>
      </w:pPr>
    </w:p>
    <w:p>
      <w:pPr>
        <w:spacing w:after="200" w:line="276" w:lineRule="auto"/>
        <w:ind w:left="360"/>
        <w:jc w:val="both"/>
        <w:rPr>
          <w:rFonts w:ascii="Arial" w:hAnsi="Arial" w:cs="Arial"/>
        </w:rPr>
      </w:pPr>
      <w:r>
        <w:rPr>
          <w:rFonts w:ascii="Arial" w:hAnsi="Arial" w:cs="Arial"/>
        </w:rPr>
        <w:t>Outre les API mises à disposition des ministères et dont la spécification est fournie dans le répertoire « 6-Référentiel technique », les ministères peuvent aussi obtenir les nomenclatures diffusées au format XSD et XLS directement dans INGRES, en mode transactionnel, dans le domaine « API Ingres » :</w:t>
      </w:r>
    </w:p>
    <w:p>
      <w:pPr>
        <w:pStyle w:val="CORPSDETEXTEDICO"/>
        <w:spacing w:before="120" w:after="120"/>
        <w:ind w:left="360"/>
        <w:rPr>
          <w:rFonts w:ascii="Arial" w:hAnsi="Arial" w:cs="Arial"/>
          <w:sz w:val="22"/>
        </w:rPr>
      </w:pPr>
    </w:p>
    <w:p>
      <w:pPr>
        <w:pStyle w:val="CORPSDETEXTEDICO"/>
        <w:spacing w:before="120" w:after="120"/>
        <w:ind w:left="360"/>
        <w:jc w:val="center"/>
        <w:rPr>
          <w:rFonts w:ascii="Arial" w:hAnsi="Arial" w:cs="Arial"/>
          <w:sz w:val="22"/>
        </w:rPr>
      </w:pPr>
      <w:r>
        <w:rPr>
          <w:noProof/>
          <w:lang w:eastAsia="fr-FR"/>
        </w:rPr>
        <w:lastRenderedPageBreak/>
        <w:drawing>
          <wp:inline distT="0" distB="0" distL="0" distR="0">
            <wp:extent cx="4837914" cy="3156667"/>
            <wp:effectExtent l="0" t="0" r="127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1362" cy="3171967"/>
                    </a:xfrm>
                    <a:prstGeom prst="rect">
                      <a:avLst/>
                    </a:prstGeom>
                  </pic:spPr>
                </pic:pic>
              </a:graphicData>
            </a:graphic>
          </wp:inline>
        </w:drawing>
      </w:r>
    </w:p>
    <w:p>
      <w:pPr>
        <w:pStyle w:val="CORPSDETEXTEDICO"/>
        <w:spacing w:before="120" w:after="120"/>
        <w:ind w:left="360"/>
        <w:rPr>
          <w:rFonts w:ascii="Arial" w:hAnsi="Arial" w:cs="Arial"/>
          <w:sz w:val="22"/>
        </w:rPr>
      </w:pPr>
    </w:p>
    <w:p>
      <w:pPr>
        <w:rPr>
          <w:rFonts w:ascii="Arial" w:hAnsi="Arial" w:cs="Arial"/>
          <w:b/>
          <w:sz w:val="28"/>
        </w:rPr>
      </w:pPr>
    </w:p>
    <w:sectPr>
      <w:headerReference w:type="default" r:id="rId20"/>
      <w:footerReference w:type="default" r:id="rId21"/>
      <w:headerReference w:type="first" r:id="rId22"/>
      <w:footerReference w:type="first" r:id="rId23"/>
      <w:pgSz w:w="11906" w:h="16838"/>
      <w:pgMar w:top="1417" w:right="1417" w:bottom="1417" w:left="1417"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rPr>
        <w:rFonts w:ascii="Arial" w:hAnsi="Arial" w:cs="Arial"/>
        <w:noProof/>
        <w:sz w:val="16"/>
        <w:lang w:eastAsia="fr-FR"/>
      </w:rPr>
    </w:pPr>
    <w:r>
      <w:rPr>
        <w:rFonts w:ascii="Arial" w:hAnsi="Arial" w:cs="Arial"/>
        <w:noProof/>
        <w:sz w:val="16"/>
        <w:lang w:eastAsia="fr-FR"/>
      </w:rPr>
      <w:t>41, Boulevard Vincent Auriol</w:t>
    </w:r>
  </w:p>
  <w:p>
    <w:pPr>
      <w:pStyle w:val="Pieddepage"/>
      <w:rPr>
        <w:rFonts w:ascii="Arial" w:hAnsi="Arial" w:cs="Arial"/>
        <w:noProof/>
        <w:sz w:val="16"/>
        <w:lang w:eastAsia="fr-FR"/>
      </w:rPr>
    </w:pPr>
    <w:r>
      <w:rPr>
        <w:rFonts w:ascii="Arial" w:hAnsi="Arial" w:cs="Arial"/>
        <w:noProof/>
        <w:sz w:val="16"/>
        <w:lang w:eastAsia="fr-FR"/>
      </w:rPr>
      <w:t>75013 PARIS</w:t>
    </w:r>
  </w:p>
  <w:p>
    <w:pPr>
      <w:pStyle w:val="Pieddepage"/>
      <w:rPr>
        <w:rFonts w:ascii="Arial" w:hAnsi="Arial" w:cs="Arial"/>
        <w:sz w:val="16"/>
      </w:rPr>
    </w:pPr>
    <w:hyperlink r:id="rId1" w:history="1">
      <w:r>
        <w:rPr>
          <w:rStyle w:val="Lienhypertexte"/>
          <w:rFonts w:ascii="Arial" w:hAnsi="Arial" w:cs="Arial"/>
          <w:noProof/>
          <w:color w:val="auto"/>
          <w:sz w:val="16"/>
          <w:u w:val="none"/>
          <w:lang w:eastAsia="fr-FR"/>
        </w:rPr>
        <w:t>www.economie.gouv.fr/cisirh</w:t>
      </w:r>
    </w:hyperlink>
    <w:r>
      <w:rPr>
        <w:rFonts w:ascii="Arial" w:hAnsi="Arial" w:cs="Arial"/>
        <w:sz w:val="16"/>
      </w:rPr>
      <w:ptab w:relativeTo="margin" w:alignment="center" w:leader="none"/>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15</w:t>
    </w:r>
    <w:r>
      <w:rPr>
        <w:rFonts w:ascii="Arial" w:hAnsi="Arial" w:cs="Arial"/>
        <w:sz w:val="16"/>
      </w:rPr>
      <w:fldChar w:fldCharType="end"/>
    </w:r>
    <w:r>
      <w:rPr>
        <w:rFonts w:ascii="Arial" w:hAnsi="Arial" w:cs="Arial"/>
        <w:sz w:val="16"/>
      </w:rPr>
      <w:ptab w:relativeTo="margin" w:alignment="right" w:leader="none"/>
    </w:r>
    <w:r>
      <w:rPr>
        <w:rFonts w:ascii="Arial" w:hAnsi="Arial" w:cs="Arial"/>
        <w:sz w:val="16"/>
      </w:rPr>
      <w:t>BARRI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rPr>
        <w:rFonts w:ascii="Arial" w:hAnsi="Arial" w:cs="Arial"/>
        <w:noProof/>
        <w:sz w:val="16"/>
        <w:lang w:eastAsia="fr-FR"/>
      </w:rPr>
    </w:pPr>
    <w:r>
      <w:rPr>
        <w:rFonts w:ascii="Arial" w:hAnsi="Arial" w:cs="Arial"/>
        <w:noProof/>
        <w:sz w:val="16"/>
        <w:lang w:eastAsia="fr-FR"/>
      </w:rPr>
      <w:t>41, Boulevard Vincent Auriol</w:t>
    </w:r>
  </w:p>
  <w:p>
    <w:pPr>
      <w:pStyle w:val="Pieddepage"/>
      <w:rPr>
        <w:rFonts w:ascii="Arial" w:hAnsi="Arial" w:cs="Arial"/>
        <w:noProof/>
        <w:sz w:val="16"/>
        <w:lang w:eastAsia="fr-FR"/>
      </w:rPr>
    </w:pPr>
    <w:r>
      <w:rPr>
        <w:rFonts w:ascii="Arial" w:hAnsi="Arial" w:cs="Arial"/>
        <w:noProof/>
        <w:sz w:val="16"/>
        <w:lang w:eastAsia="fr-FR"/>
      </w:rPr>
      <w:t>75013 PARIS</w:t>
    </w:r>
  </w:p>
  <w:p>
    <w:pPr>
      <w:pStyle w:val="Pieddepage"/>
      <w:rPr>
        <w:rFonts w:ascii="Arial" w:hAnsi="Arial" w:cs="Arial"/>
        <w:sz w:val="16"/>
      </w:rPr>
    </w:pPr>
    <w:hyperlink r:id="rId1" w:history="1">
      <w:r>
        <w:rPr>
          <w:rStyle w:val="Lienhypertexte"/>
          <w:rFonts w:ascii="Arial" w:hAnsi="Arial" w:cs="Arial"/>
          <w:noProof/>
          <w:color w:val="auto"/>
          <w:sz w:val="16"/>
          <w:u w:val="none"/>
          <w:lang w:eastAsia="fr-FR"/>
        </w:rPr>
        <w:t>www.economie.gouv.fr/cisirh</w:t>
      </w:r>
    </w:hyperlink>
    <w:r>
      <w:rPr>
        <w:rFonts w:ascii="Arial" w:hAnsi="Arial" w:cs="Arial"/>
        <w:sz w:val="16"/>
      </w:rPr>
      <w:ptab w:relativeTo="margin" w:alignment="center" w:leader="none"/>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ptab w:relativeTo="margin" w:alignment="right" w:leader="none"/>
    </w:r>
    <w:r>
      <w:rPr>
        <w:rFonts w:ascii="Arial" w:hAnsi="Arial" w:cs="Arial"/>
        <w:sz w:val="16"/>
      </w:rPr>
      <w:t>09/02/2024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ayout w:type="fixed"/>
      <w:tblLook w:val="04A0" w:firstRow="1" w:lastRow="0" w:firstColumn="1" w:lastColumn="0" w:noHBand="0" w:noVBand="1"/>
    </w:tblPr>
    <w:tblGrid>
      <w:gridCol w:w="2263"/>
      <w:gridCol w:w="3828"/>
      <w:gridCol w:w="2971"/>
    </w:tblGrid>
    <w:tr>
      <w:trPr>
        <w:trHeight w:val="1408"/>
      </w:trPr>
      <w:tc>
        <w:tcPr>
          <w:tcW w:w="2263" w:type="dxa"/>
          <w:vAlign w:val="center"/>
        </w:tcPr>
        <w:p>
          <w:pPr>
            <w:pStyle w:val="En-tte"/>
          </w:pPr>
          <w:r>
            <w:rPr>
              <w:noProof/>
              <w:lang w:eastAsia="fr-FR"/>
            </w:rPr>
            <w:drawing>
              <wp:inline distT="0" distB="0" distL="0" distR="0">
                <wp:extent cx="1299845" cy="808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9845" cy="808355"/>
                        </a:xfrm>
                        <a:prstGeom prst="rect">
                          <a:avLst/>
                        </a:prstGeom>
                      </pic:spPr>
                    </pic:pic>
                  </a:graphicData>
                </a:graphic>
              </wp:inline>
            </w:drawing>
          </w:r>
        </w:p>
      </w:tc>
      <w:tc>
        <w:tcPr>
          <w:tcW w:w="3828" w:type="dxa"/>
          <w:vAlign w:val="center"/>
        </w:tcPr>
        <w:p>
          <w:pPr>
            <w:pStyle w:val="En-tte"/>
            <w:jc w:val="center"/>
          </w:pPr>
          <w:r>
            <w:rPr>
              <w:rFonts w:ascii="Arial" w:hAnsi="Arial" w:cs="Arial"/>
              <w:b/>
              <w:sz w:val="24"/>
            </w:rPr>
            <w:t>Diffusion de la version 23.10.00</w:t>
          </w:r>
        </w:p>
      </w:tc>
      <w:tc>
        <w:tcPr>
          <w:tcW w:w="2971" w:type="dxa"/>
          <w:vAlign w:val="center"/>
        </w:tcPr>
        <w:p>
          <w:pPr>
            <w:tabs>
              <w:tab w:val="center" w:pos="4536"/>
              <w:tab w:val="right" w:pos="9072"/>
            </w:tabs>
            <w:jc w:val="right"/>
            <w:rPr>
              <w:rFonts w:ascii="Calibri" w:eastAsia="Calibri" w:hAnsi="Calibri" w:cs="Times New Roman"/>
              <w:noProof/>
              <w:sz w:val="20"/>
              <w:szCs w:val="20"/>
            </w:rPr>
          </w:pPr>
          <w:r>
            <w:rPr>
              <w:rFonts w:ascii="Calibri" w:eastAsia="Calibri" w:hAnsi="Calibri" w:cs="Times New Roman"/>
              <w:noProof/>
              <w:sz w:val="20"/>
              <w:szCs w:val="20"/>
            </w:rPr>
            <w:t>Centre Interministériel</w:t>
          </w:r>
        </w:p>
        <w:p>
          <w:pPr>
            <w:tabs>
              <w:tab w:val="center" w:pos="4536"/>
              <w:tab w:val="right" w:pos="9072"/>
            </w:tabs>
            <w:jc w:val="right"/>
            <w:rPr>
              <w:rFonts w:ascii="Calibri" w:eastAsia="Calibri" w:hAnsi="Calibri" w:cs="Times New Roman"/>
              <w:noProof/>
              <w:sz w:val="20"/>
              <w:szCs w:val="20"/>
            </w:rPr>
          </w:pPr>
          <w:r>
            <w:rPr>
              <w:rFonts w:ascii="Calibri" w:eastAsia="Calibri" w:hAnsi="Calibri" w:cs="Times New Roman"/>
              <w:noProof/>
              <w:sz w:val="20"/>
              <w:szCs w:val="20"/>
            </w:rPr>
            <w:t>de Services Informatiques</w:t>
          </w:r>
        </w:p>
        <w:p>
          <w:pPr>
            <w:pStyle w:val="En-tte"/>
            <w:jc w:val="right"/>
          </w:pPr>
          <w:r>
            <w:rPr>
              <w:rFonts w:ascii="Calibri" w:eastAsia="Calibri" w:hAnsi="Calibri" w:cs="Times New Roman"/>
              <w:noProof/>
              <w:sz w:val="20"/>
              <w:szCs w:val="20"/>
            </w:rPr>
            <w:t>relatifs aux Ressources Humaines</w:t>
          </w:r>
        </w:p>
      </w:tc>
    </w:tr>
  </w:tbl>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691"/>
      <w:gridCol w:w="3118"/>
    </w:tblGrid>
    <w:tr>
      <w:trPr>
        <w:trHeight w:val="1408"/>
      </w:trPr>
      <w:tc>
        <w:tcPr>
          <w:tcW w:w="2263" w:type="dxa"/>
          <w:vAlign w:val="center"/>
        </w:tcPr>
        <w:p>
          <w:pPr>
            <w:tabs>
              <w:tab w:val="center" w:pos="4536"/>
              <w:tab w:val="right" w:pos="9072"/>
            </w:tabs>
            <w:rPr>
              <w:rFonts w:eastAsia="Calibri"/>
            </w:rPr>
          </w:pPr>
          <w:r>
            <w:rPr>
              <w:noProof/>
              <w:lang w:eastAsia="fr-FR"/>
            </w:rPr>
            <w:drawing>
              <wp:inline distT="0" distB="0" distL="0" distR="0">
                <wp:extent cx="1299845" cy="808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9845" cy="808355"/>
                        </a:xfrm>
                        <a:prstGeom prst="rect">
                          <a:avLst/>
                        </a:prstGeom>
                      </pic:spPr>
                    </pic:pic>
                  </a:graphicData>
                </a:graphic>
              </wp:inline>
            </w:drawing>
          </w:r>
        </w:p>
      </w:tc>
      <w:tc>
        <w:tcPr>
          <w:tcW w:w="3691" w:type="dxa"/>
          <w:vAlign w:val="center"/>
        </w:tcPr>
        <w:p>
          <w:pPr>
            <w:tabs>
              <w:tab w:val="center" w:pos="4536"/>
              <w:tab w:val="right" w:pos="9072"/>
            </w:tabs>
            <w:rPr>
              <w:rFonts w:eastAsia="Calibri"/>
            </w:rPr>
          </w:pPr>
        </w:p>
      </w:tc>
      <w:tc>
        <w:tcPr>
          <w:tcW w:w="3118" w:type="dxa"/>
          <w:vAlign w:val="center"/>
        </w:tcPr>
        <w:p>
          <w:pPr>
            <w:tabs>
              <w:tab w:val="center" w:pos="4536"/>
              <w:tab w:val="right" w:pos="9072"/>
            </w:tabs>
            <w:jc w:val="right"/>
            <w:rPr>
              <w:rFonts w:eastAsia="Calibri"/>
              <w:noProof/>
            </w:rPr>
          </w:pPr>
          <w:r>
            <w:rPr>
              <w:rFonts w:eastAsia="Calibri"/>
              <w:noProof/>
            </w:rPr>
            <w:t>Centre Interministériel</w:t>
          </w:r>
        </w:p>
        <w:p>
          <w:pPr>
            <w:tabs>
              <w:tab w:val="center" w:pos="4536"/>
              <w:tab w:val="right" w:pos="9072"/>
            </w:tabs>
            <w:jc w:val="right"/>
            <w:rPr>
              <w:rFonts w:eastAsia="Calibri"/>
              <w:noProof/>
            </w:rPr>
          </w:pPr>
          <w:r>
            <w:rPr>
              <w:rFonts w:eastAsia="Calibri"/>
              <w:noProof/>
            </w:rPr>
            <w:t>de Services Informatiques</w:t>
          </w:r>
        </w:p>
        <w:p>
          <w:pPr>
            <w:ind w:left="-392"/>
            <w:jc w:val="right"/>
            <w:rPr>
              <w:rFonts w:eastAsia="Calibri"/>
            </w:rPr>
          </w:pPr>
          <w:r>
            <w:rPr>
              <w:rFonts w:eastAsia="Calibri"/>
              <w:noProof/>
            </w:rPr>
            <w:t>relatifs aux Ressources Humaines</w:t>
          </w: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EF53"/>
      </v:shape>
    </w:pict>
  </w:numPicBullet>
  <w:abstractNum w:abstractNumId="0" w15:restartNumberingAfterBreak="0">
    <w:nsid w:val="00AC6289"/>
    <w:multiLevelType w:val="hybridMultilevel"/>
    <w:tmpl w:val="BA3297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D0AB4"/>
    <w:multiLevelType w:val="hybridMultilevel"/>
    <w:tmpl w:val="BC245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D2BD9"/>
    <w:multiLevelType w:val="hybridMultilevel"/>
    <w:tmpl w:val="C18216D6"/>
    <w:lvl w:ilvl="0" w:tplc="57FA9D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0469E"/>
    <w:multiLevelType w:val="multilevel"/>
    <w:tmpl w:val="64D0D588"/>
    <w:lvl w:ilvl="0">
      <w:start w:val="1"/>
      <w:numFmt w:val="decimal"/>
      <w:lvlText w:val="%1."/>
      <w:lvlJc w:val="left"/>
      <w:pPr>
        <w:tabs>
          <w:tab w:val="num" w:pos="1140"/>
        </w:tabs>
        <w:ind w:left="1140" w:hanging="432"/>
      </w:pPr>
      <w:rPr>
        <w:rFonts w:hint="default"/>
        <w:b/>
        <w:i w:val="0"/>
      </w:rPr>
    </w:lvl>
    <w:lvl w:ilvl="1">
      <w:start w:val="1"/>
      <w:numFmt w:val="decimal"/>
      <w:lvlText w:val="%1.%2"/>
      <w:lvlJc w:val="left"/>
      <w:pPr>
        <w:tabs>
          <w:tab w:val="num" w:pos="1284"/>
        </w:tabs>
        <w:ind w:left="1284" w:hanging="576"/>
      </w:pPr>
      <w:rPr>
        <w:rFonts w:hint="default"/>
        <w:b/>
        <w:i w:val="0"/>
      </w:rPr>
    </w:lvl>
    <w:lvl w:ilvl="2">
      <w:start w:val="1"/>
      <w:numFmt w:val="decimal"/>
      <w:lvlText w:val="%1.%2.%3"/>
      <w:lvlJc w:val="left"/>
      <w:pPr>
        <w:tabs>
          <w:tab w:val="num" w:pos="1428"/>
        </w:tabs>
        <w:ind w:left="1428" w:hanging="720"/>
      </w:pPr>
      <w:rPr>
        <w:rFonts w:hint="default"/>
        <w:b/>
        <w:i w:val="0"/>
      </w:rPr>
    </w:lvl>
    <w:lvl w:ilvl="3">
      <w:start w:val="1"/>
      <w:numFmt w:val="decimal"/>
      <w:pStyle w:val="Titre4"/>
      <w:lvlText w:val="%1.%2.%3.%4"/>
      <w:lvlJc w:val="left"/>
      <w:pPr>
        <w:tabs>
          <w:tab w:val="num" w:pos="1572"/>
        </w:tabs>
        <w:ind w:left="1572" w:hanging="864"/>
      </w:pPr>
      <w:rPr>
        <w:rFonts w:hint="default"/>
      </w:rPr>
    </w:lvl>
    <w:lvl w:ilvl="4">
      <w:start w:val="1"/>
      <w:numFmt w:val="decimal"/>
      <w:pStyle w:val="Titre5"/>
      <w:lvlText w:val="%1.%2.%3.%4.%5"/>
      <w:lvlJc w:val="left"/>
      <w:pPr>
        <w:tabs>
          <w:tab w:val="num" w:pos="1716"/>
        </w:tabs>
        <w:ind w:left="1716" w:hanging="1008"/>
      </w:pPr>
      <w:rPr>
        <w:rFonts w:hint="default"/>
      </w:rPr>
    </w:lvl>
    <w:lvl w:ilvl="5">
      <w:start w:val="1"/>
      <w:numFmt w:val="decimal"/>
      <w:pStyle w:val="Titre6"/>
      <w:lvlText w:val="%1.%2.%3.%4.%5.%6"/>
      <w:lvlJc w:val="left"/>
      <w:pPr>
        <w:tabs>
          <w:tab w:val="num" w:pos="1860"/>
        </w:tabs>
        <w:ind w:left="1860" w:hanging="1152"/>
      </w:pPr>
      <w:rPr>
        <w:rFonts w:hint="default"/>
      </w:rPr>
    </w:lvl>
    <w:lvl w:ilvl="6">
      <w:start w:val="1"/>
      <w:numFmt w:val="decimal"/>
      <w:pStyle w:val="Titre7"/>
      <w:lvlText w:val="%1.%2.%3.%4.%5.%6.%7"/>
      <w:lvlJc w:val="left"/>
      <w:pPr>
        <w:tabs>
          <w:tab w:val="num" w:pos="2004"/>
        </w:tabs>
        <w:ind w:left="2004" w:hanging="1296"/>
      </w:pPr>
      <w:rPr>
        <w:rFonts w:hint="default"/>
      </w:rPr>
    </w:lvl>
    <w:lvl w:ilvl="7">
      <w:start w:val="1"/>
      <w:numFmt w:val="decimal"/>
      <w:pStyle w:val="Titre8"/>
      <w:lvlText w:val="%1.%2.%3.%4.%5.%6.%7.%8"/>
      <w:lvlJc w:val="left"/>
      <w:pPr>
        <w:tabs>
          <w:tab w:val="num" w:pos="2148"/>
        </w:tabs>
        <w:ind w:left="2148" w:hanging="1440"/>
      </w:pPr>
      <w:rPr>
        <w:rFonts w:hint="default"/>
      </w:rPr>
    </w:lvl>
    <w:lvl w:ilvl="8">
      <w:start w:val="1"/>
      <w:numFmt w:val="decimal"/>
      <w:pStyle w:val="Titre9"/>
      <w:lvlText w:val="%1.%2.%3.%4.%5.%6.%7.%8.%9"/>
      <w:lvlJc w:val="left"/>
      <w:pPr>
        <w:tabs>
          <w:tab w:val="num" w:pos="2292"/>
        </w:tabs>
        <w:ind w:left="2292" w:hanging="1584"/>
      </w:pPr>
      <w:rPr>
        <w:rFonts w:hint="default"/>
      </w:rPr>
    </w:lvl>
  </w:abstractNum>
  <w:abstractNum w:abstractNumId="4" w15:restartNumberingAfterBreak="0">
    <w:nsid w:val="09C87A7F"/>
    <w:multiLevelType w:val="hybridMultilevel"/>
    <w:tmpl w:val="7690CCD4"/>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5" w15:restartNumberingAfterBreak="0">
    <w:nsid w:val="0C597714"/>
    <w:multiLevelType w:val="hybridMultilevel"/>
    <w:tmpl w:val="179AD5F2"/>
    <w:lvl w:ilvl="0" w:tplc="F7785A1A">
      <w:numFmt w:val="bullet"/>
      <w:lvlText w:val="-"/>
      <w:lvlJc w:val="left"/>
      <w:pPr>
        <w:ind w:left="1712" w:hanging="360"/>
      </w:pPr>
      <w:rPr>
        <w:rFonts w:ascii="Arial" w:eastAsia="Times New Roman" w:hAnsi="Arial" w:cs="Aria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 w15:restartNumberingAfterBreak="0">
    <w:nsid w:val="0D0F3425"/>
    <w:multiLevelType w:val="hybridMultilevel"/>
    <w:tmpl w:val="518486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D633DA5"/>
    <w:multiLevelType w:val="hybridMultilevel"/>
    <w:tmpl w:val="17C071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F92C2C"/>
    <w:multiLevelType w:val="hybridMultilevel"/>
    <w:tmpl w:val="B068FA62"/>
    <w:lvl w:ilvl="0" w:tplc="050E66D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0F4178A"/>
    <w:multiLevelType w:val="hybridMultilevel"/>
    <w:tmpl w:val="7870C9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21F5AD5"/>
    <w:multiLevelType w:val="hybridMultilevel"/>
    <w:tmpl w:val="C44C1A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30552D1"/>
    <w:multiLevelType w:val="hybridMultilevel"/>
    <w:tmpl w:val="CFBC1764"/>
    <w:lvl w:ilvl="0" w:tplc="040C0001">
      <w:start w:val="1"/>
      <w:numFmt w:val="bullet"/>
      <w:lvlText w:val=""/>
      <w:lvlJc w:val="left"/>
      <w:pPr>
        <w:ind w:left="1138" w:hanging="360"/>
      </w:pPr>
      <w:rPr>
        <w:rFonts w:ascii="Symbol" w:hAnsi="Symbol" w:hint="default"/>
      </w:rPr>
    </w:lvl>
    <w:lvl w:ilvl="1" w:tplc="040C0003" w:tentative="1">
      <w:start w:val="1"/>
      <w:numFmt w:val="bullet"/>
      <w:lvlText w:val="o"/>
      <w:lvlJc w:val="left"/>
      <w:pPr>
        <w:ind w:left="1858" w:hanging="360"/>
      </w:pPr>
      <w:rPr>
        <w:rFonts w:ascii="Courier New" w:hAnsi="Courier New" w:cs="Courier New" w:hint="default"/>
      </w:rPr>
    </w:lvl>
    <w:lvl w:ilvl="2" w:tplc="040C0005" w:tentative="1">
      <w:start w:val="1"/>
      <w:numFmt w:val="bullet"/>
      <w:lvlText w:val=""/>
      <w:lvlJc w:val="left"/>
      <w:pPr>
        <w:ind w:left="2578" w:hanging="360"/>
      </w:pPr>
      <w:rPr>
        <w:rFonts w:ascii="Wingdings" w:hAnsi="Wingdings" w:hint="default"/>
      </w:rPr>
    </w:lvl>
    <w:lvl w:ilvl="3" w:tplc="040C0001" w:tentative="1">
      <w:start w:val="1"/>
      <w:numFmt w:val="bullet"/>
      <w:lvlText w:val=""/>
      <w:lvlJc w:val="left"/>
      <w:pPr>
        <w:ind w:left="3298" w:hanging="360"/>
      </w:pPr>
      <w:rPr>
        <w:rFonts w:ascii="Symbol" w:hAnsi="Symbol" w:hint="default"/>
      </w:rPr>
    </w:lvl>
    <w:lvl w:ilvl="4" w:tplc="040C0003" w:tentative="1">
      <w:start w:val="1"/>
      <w:numFmt w:val="bullet"/>
      <w:lvlText w:val="o"/>
      <w:lvlJc w:val="left"/>
      <w:pPr>
        <w:ind w:left="4018" w:hanging="360"/>
      </w:pPr>
      <w:rPr>
        <w:rFonts w:ascii="Courier New" w:hAnsi="Courier New" w:cs="Courier New" w:hint="default"/>
      </w:rPr>
    </w:lvl>
    <w:lvl w:ilvl="5" w:tplc="040C0005" w:tentative="1">
      <w:start w:val="1"/>
      <w:numFmt w:val="bullet"/>
      <w:lvlText w:val=""/>
      <w:lvlJc w:val="left"/>
      <w:pPr>
        <w:ind w:left="4738" w:hanging="360"/>
      </w:pPr>
      <w:rPr>
        <w:rFonts w:ascii="Wingdings" w:hAnsi="Wingdings" w:hint="default"/>
      </w:rPr>
    </w:lvl>
    <w:lvl w:ilvl="6" w:tplc="040C0001" w:tentative="1">
      <w:start w:val="1"/>
      <w:numFmt w:val="bullet"/>
      <w:lvlText w:val=""/>
      <w:lvlJc w:val="left"/>
      <w:pPr>
        <w:ind w:left="5458" w:hanging="360"/>
      </w:pPr>
      <w:rPr>
        <w:rFonts w:ascii="Symbol" w:hAnsi="Symbol" w:hint="default"/>
      </w:rPr>
    </w:lvl>
    <w:lvl w:ilvl="7" w:tplc="040C0003" w:tentative="1">
      <w:start w:val="1"/>
      <w:numFmt w:val="bullet"/>
      <w:lvlText w:val="o"/>
      <w:lvlJc w:val="left"/>
      <w:pPr>
        <w:ind w:left="6178" w:hanging="360"/>
      </w:pPr>
      <w:rPr>
        <w:rFonts w:ascii="Courier New" w:hAnsi="Courier New" w:cs="Courier New" w:hint="default"/>
      </w:rPr>
    </w:lvl>
    <w:lvl w:ilvl="8" w:tplc="040C0005" w:tentative="1">
      <w:start w:val="1"/>
      <w:numFmt w:val="bullet"/>
      <w:lvlText w:val=""/>
      <w:lvlJc w:val="left"/>
      <w:pPr>
        <w:ind w:left="6898" w:hanging="360"/>
      </w:pPr>
      <w:rPr>
        <w:rFonts w:ascii="Wingdings" w:hAnsi="Wingdings" w:hint="default"/>
      </w:rPr>
    </w:lvl>
  </w:abstractNum>
  <w:abstractNum w:abstractNumId="12" w15:restartNumberingAfterBreak="0">
    <w:nsid w:val="139C6FB8"/>
    <w:multiLevelType w:val="hybridMultilevel"/>
    <w:tmpl w:val="8E04C54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4F93D4F"/>
    <w:multiLevelType w:val="multilevel"/>
    <w:tmpl w:val="60762BA4"/>
    <w:lvl w:ilvl="0">
      <w:start w:val="2"/>
      <w:numFmt w:val="decimal"/>
      <w:lvlText w:val="%1."/>
      <w:lvlJc w:val="left"/>
      <w:pPr>
        <w:ind w:left="720" w:hanging="360"/>
      </w:pPr>
      <w:rPr>
        <w:rFonts w:hint="default"/>
      </w:rPr>
    </w:lvl>
    <w:lvl w:ilvl="1">
      <w:start w:val="1"/>
      <w:numFmt w:val="decimal"/>
      <w:lvlText w:val="%1.%2."/>
      <w:lvlJc w:val="left"/>
      <w:pPr>
        <w:ind w:left="1081" w:hanging="720"/>
      </w:pPr>
      <w:rPr>
        <w:rFonts w:hint="default"/>
      </w:rPr>
    </w:lvl>
    <w:lvl w:ilvl="2">
      <w:start w:val="2"/>
      <w:numFmt w:val="decimal"/>
      <w:lvlText w:val="%1.%2.%3."/>
      <w:lvlJc w:val="left"/>
      <w:pPr>
        <w:ind w:left="1082" w:hanging="720"/>
      </w:pPr>
      <w:rPr>
        <w:rFonts w:hint="default"/>
      </w:rPr>
    </w:lvl>
    <w:lvl w:ilvl="3">
      <w:start w:val="1"/>
      <w:numFmt w:val="decimal"/>
      <w:lvlText w:val="%1.%2.%3.%4."/>
      <w:lvlJc w:val="left"/>
      <w:pPr>
        <w:ind w:left="1443" w:hanging="108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2167" w:hanging="1800"/>
      </w:pPr>
      <w:rPr>
        <w:rFonts w:hint="default"/>
      </w:rPr>
    </w:lvl>
    <w:lvl w:ilvl="8">
      <w:start w:val="1"/>
      <w:numFmt w:val="decimal"/>
      <w:lvlText w:val="%1.%2.%3.%4.%5.%6.%7.%8.%9."/>
      <w:lvlJc w:val="left"/>
      <w:pPr>
        <w:ind w:left="2168" w:hanging="1800"/>
      </w:pPr>
      <w:rPr>
        <w:rFonts w:hint="default"/>
      </w:rPr>
    </w:lvl>
  </w:abstractNum>
  <w:abstractNum w:abstractNumId="14" w15:restartNumberingAfterBreak="0">
    <w:nsid w:val="1A5031BF"/>
    <w:multiLevelType w:val="hybridMultilevel"/>
    <w:tmpl w:val="2F5A17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BE13D44"/>
    <w:multiLevelType w:val="hybridMultilevel"/>
    <w:tmpl w:val="4CD4B22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274116CC"/>
    <w:multiLevelType w:val="hybridMultilevel"/>
    <w:tmpl w:val="522E3B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23756"/>
    <w:multiLevelType w:val="hybridMultilevel"/>
    <w:tmpl w:val="482E9410"/>
    <w:lvl w:ilvl="0" w:tplc="040C0003">
      <w:start w:val="1"/>
      <w:numFmt w:val="bullet"/>
      <w:lvlText w:val="o"/>
      <w:lvlJc w:val="left"/>
      <w:pPr>
        <w:ind w:left="1712" w:hanging="360"/>
      </w:pPr>
      <w:rPr>
        <w:rFonts w:ascii="Courier New" w:hAnsi="Courier New" w:cs="Courier New"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8" w15:restartNumberingAfterBreak="0">
    <w:nsid w:val="31B9402E"/>
    <w:multiLevelType w:val="hybridMultilevel"/>
    <w:tmpl w:val="DB4204C6"/>
    <w:lvl w:ilvl="0" w:tplc="040C0003">
      <w:start w:val="1"/>
      <w:numFmt w:val="bullet"/>
      <w:lvlText w:val="o"/>
      <w:lvlJc w:val="left"/>
      <w:pPr>
        <w:ind w:left="1712" w:hanging="360"/>
      </w:pPr>
      <w:rPr>
        <w:rFonts w:ascii="Courier New" w:hAnsi="Courier New" w:cs="Courier New"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9" w15:restartNumberingAfterBreak="0">
    <w:nsid w:val="33C25FD1"/>
    <w:multiLevelType w:val="hybridMultilevel"/>
    <w:tmpl w:val="4F6A0EC4"/>
    <w:lvl w:ilvl="0" w:tplc="040C0001">
      <w:start w:val="1"/>
      <w:numFmt w:val="bullet"/>
      <w:lvlText w:val=""/>
      <w:lvlJc w:val="left"/>
      <w:pPr>
        <w:ind w:left="1015" w:hanging="360"/>
      </w:pPr>
      <w:rPr>
        <w:rFonts w:ascii="Symbol" w:hAnsi="Symbol" w:hint="default"/>
      </w:rPr>
    </w:lvl>
    <w:lvl w:ilvl="1" w:tplc="040C0003" w:tentative="1">
      <w:start w:val="1"/>
      <w:numFmt w:val="bullet"/>
      <w:lvlText w:val="o"/>
      <w:lvlJc w:val="left"/>
      <w:pPr>
        <w:ind w:left="1735" w:hanging="360"/>
      </w:pPr>
      <w:rPr>
        <w:rFonts w:ascii="Courier New" w:hAnsi="Courier New" w:cs="Courier New" w:hint="default"/>
      </w:rPr>
    </w:lvl>
    <w:lvl w:ilvl="2" w:tplc="040C0005" w:tentative="1">
      <w:start w:val="1"/>
      <w:numFmt w:val="bullet"/>
      <w:lvlText w:val=""/>
      <w:lvlJc w:val="left"/>
      <w:pPr>
        <w:ind w:left="2455" w:hanging="360"/>
      </w:pPr>
      <w:rPr>
        <w:rFonts w:ascii="Wingdings" w:hAnsi="Wingdings" w:hint="default"/>
      </w:rPr>
    </w:lvl>
    <w:lvl w:ilvl="3" w:tplc="040C0001" w:tentative="1">
      <w:start w:val="1"/>
      <w:numFmt w:val="bullet"/>
      <w:lvlText w:val=""/>
      <w:lvlJc w:val="left"/>
      <w:pPr>
        <w:ind w:left="3175" w:hanging="360"/>
      </w:pPr>
      <w:rPr>
        <w:rFonts w:ascii="Symbol" w:hAnsi="Symbol" w:hint="default"/>
      </w:rPr>
    </w:lvl>
    <w:lvl w:ilvl="4" w:tplc="040C0003" w:tentative="1">
      <w:start w:val="1"/>
      <w:numFmt w:val="bullet"/>
      <w:lvlText w:val="o"/>
      <w:lvlJc w:val="left"/>
      <w:pPr>
        <w:ind w:left="3895" w:hanging="360"/>
      </w:pPr>
      <w:rPr>
        <w:rFonts w:ascii="Courier New" w:hAnsi="Courier New" w:cs="Courier New" w:hint="default"/>
      </w:rPr>
    </w:lvl>
    <w:lvl w:ilvl="5" w:tplc="040C0005" w:tentative="1">
      <w:start w:val="1"/>
      <w:numFmt w:val="bullet"/>
      <w:lvlText w:val=""/>
      <w:lvlJc w:val="left"/>
      <w:pPr>
        <w:ind w:left="4615" w:hanging="360"/>
      </w:pPr>
      <w:rPr>
        <w:rFonts w:ascii="Wingdings" w:hAnsi="Wingdings" w:hint="default"/>
      </w:rPr>
    </w:lvl>
    <w:lvl w:ilvl="6" w:tplc="040C0001" w:tentative="1">
      <w:start w:val="1"/>
      <w:numFmt w:val="bullet"/>
      <w:lvlText w:val=""/>
      <w:lvlJc w:val="left"/>
      <w:pPr>
        <w:ind w:left="5335" w:hanging="360"/>
      </w:pPr>
      <w:rPr>
        <w:rFonts w:ascii="Symbol" w:hAnsi="Symbol" w:hint="default"/>
      </w:rPr>
    </w:lvl>
    <w:lvl w:ilvl="7" w:tplc="040C0003" w:tentative="1">
      <w:start w:val="1"/>
      <w:numFmt w:val="bullet"/>
      <w:lvlText w:val="o"/>
      <w:lvlJc w:val="left"/>
      <w:pPr>
        <w:ind w:left="6055" w:hanging="360"/>
      </w:pPr>
      <w:rPr>
        <w:rFonts w:ascii="Courier New" w:hAnsi="Courier New" w:cs="Courier New" w:hint="default"/>
      </w:rPr>
    </w:lvl>
    <w:lvl w:ilvl="8" w:tplc="040C0005" w:tentative="1">
      <w:start w:val="1"/>
      <w:numFmt w:val="bullet"/>
      <w:lvlText w:val=""/>
      <w:lvlJc w:val="left"/>
      <w:pPr>
        <w:ind w:left="6775" w:hanging="360"/>
      </w:pPr>
      <w:rPr>
        <w:rFonts w:ascii="Wingdings" w:hAnsi="Wingdings" w:hint="default"/>
      </w:rPr>
    </w:lvl>
  </w:abstractNum>
  <w:abstractNum w:abstractNumId="20" w15:restartNumberingAfterBreak="0">
    <w:nsid w:val="34D0526E"/>
    <w:multiLevelType w:val="hybridMultilevel"/>
    <w:tmpl w:val="31DC4034"/>
    <w:lvl w:ilvl="0" w:tplc="040C0003">
      <w:start w:val="1"/>
      <w:numFmt w:val="bullet"/>
      <w:lvlText w:val="o"/>
      <w:lvlJc w:val="left"/>
      <w:pPr>
        <w:ind w:left="1712" w:hanging="360"/>
      </w:pPr>
      <w:rPr>
        <w:rFonts w:ascii="Courier New" w:hAnsi="Courier New" w:cs="Courier New"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1" w15:restartNumberingAfterBreak="0">
    <w:nsid w:val="3BE45C19"/>
    <w:multiLevelType w:val="hybridMultilevel"/>
    <w:tmpl w:val="CA105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287C54"/>
    <w:multiLevelType w:val="hybridMultilevel"/>
    <w:tmpl w:val="2DACA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E87C64"/>
    <w:multiLevelType w:val="hybridMultilevel"/>
    <w:tmpl w:val="B0264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4F40D93"/>
    <w:multiLevelType w:val="hybridMultilevel"/>
    <w:tmpl w:val="11066EC0"/>
    <w:lvl w:ilvl="0" w:tplc="D3D2BE68">
      <w:start w:val="1"/>
      <w:numFmt w:val="decimal"/>
      <w:pStyle w:val="Titre2"/>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788003A"/>
    <w:multiLevelType w:val="hybridMultilevel"/>
    <w:tmpl w:val="DB26E780"/>
    <w:lvl w:ilvl="0" w:tplc="040C0001">
      <w:start w:val="1"/>
      <w:numFmt w:val="bullet"/>
      <w:lvlText w:val=""/>
      <w:lvlJc w:val="left"/>
      <w:pPr>
        <w:ind w:left="1080" w:hanging="360"/>
      </w:pPr>
      <w:rPr>
        <w:rFonts w:ascii="Symbol" w:hAnsi="Symbol" w:hint="default"/>
      </w:rPr>
    </w:lvl>
    <w:lvl w:ilvl="1" w:tplc="F7785A1A">
      <w:numFmt w:val="bullet"/>
      <w:lvlText w:val="-"/>
      <w:lvlJc w:val="left"/>
      <w:pPr>
        <w:ind w:left="1800" w:hanging="360"/>
      </w:pPr>
      <w:rPr>
        <w:rFonts w:ascii="Arial" w:eastAsia="Times New Roman" w:hAnsi="Arial" w:cs="Aria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0BF7F07"/>
    <w:multiLevelType w:val="hybridMultilevel"/>
    <w:tmpl w:val="5C28C03E"/>
    <w:lvl w:ilvl="0" w:tplc="BF0A88E6">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162509D"/>
    <w:multiLevelType w:val="hybridMultilevel"/>
    <w:tmpl w:val="9618AD1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2EE3E14"/>
    <w:multiLevelType w:val="hybridMultilevel"/>
    <w:tmpl w:val="88B652A6"/>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15:restartNumberingAfterBreak="0">
    <w:nsid w:val="54C1274C"/>
    <w:multiLevelType w:val="hybridMultilevel"/>
    <w:tmpl w:val="8FF896B8"/>
    <w:lvl w:ilvl="0" w:tplc="040C0003">
      <w:start w:val="1"/>
      <w:numFmt w:val="bullet"/>
      <w:lvlText w:val="o"/>
      <w:lvlJc w:val="left"/>
      <w:pPr>
        <w:ind w:left="2202" w:hanging="360"/>
      </w:pPr>
      <w:rPr>
        <w:rFonts w:ascii="Courier New" w:hAnsi="Courier New" w:cs="Courier New"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30" w15:restartNumberingAfterBreak="0">
    <w:nsid w:val="5ABD4527"/>
    <w:multiLevelType w:val="hybridMultilevel"/>
    <w:tmpl w:val="316676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B3A0243"/>
    <w:multiLevelType w:val="hybridMultilevel"/>
    <w:tmpl w:val="E6B4341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5BB2049D"/>
    <w:multiLevelType w:val="hybridMultilevel"/>
    <w:tmpl w:val="57AA91B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5CDF1F85"/>
    <w:multiLevelType w:val="hybridMultilevel"/>
    <w:tmpl w:val="C2B04A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F7785A1A">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D57223B"/>
    <w:multiLevelType w:val="hybridMultilevel"/>
    <w:tmpl w:val="CD4C73B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EED644F"/>
    <w:multiLevelType w:val="hybridMultilevel"/>
    <w:tmpl w:val="11228C1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60DC2709"/>
    <w:multiLevelType w:val="hybridMultilevel"/>
    <w:tmpl w:val="802693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F30C53"/>
    <w:multiLevelType w:val="hybridMultilevel"/>
    <w:tmpl w:val="0B16956C"/>
    <w:lvl w:ilvl="0" w:tplc="F7785A1A">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65A118E0"/>
    <w:multiLevelType w:val="hybridMultilevel"/>
    <w:tmpl w:val="BF280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F648BF"/>
    <w:multiLevelType w:val="hybridMultilevel"/>
    <w:tmpl w:val="D5AA85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82B029F"/>
    <w:multiLevelType w:val="hybridMultilevel"/>
    <w:tmpl w:val="63EA9014"/>
    <w:lvl w:ilvl="0" w:tplc="040C0003">
      <w:start w:val="1"/>
      <w:numFmt w:val="bullet"/>
      <w:lvlText w:val="o"/>
      <w:lvlJc w:val="left"/>
      <w:pPr>
        <w:ind w:left="1712" w:hanging="360"/>
      </w:pPr>
      <w:rPr>
        <w:rFonts w:ascii="Courier New" w:hAnsi="Courier New" w:cs="Courier New"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41" w15:restartNumberingAfterBreak="0">
    <w:nsid w:val="6A883D72"/>
    <w:multiLevelType w:val="hybridMultilevel"/>
    <w:tmpl w:val="1A520DB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AA46A18"/>
    <w:multiLevelType w:val="hybridMultilevel"/>
    <w:tmpl w:val="D66C93D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EE058C6"/>
    <w:multiLevelType w:val="hybridMultilevel"/>
    <w:tmpl w:val="F4C0F974"/>
    <w:lvl w:ilvl="0" w:tplc="040C0003">
      <w:start w:val="1"/>
      <w:numFmt w:val="bullet"/>
      <w:lvlText w:val="o"/>
      <w:lvlJc w:val="left"/>
      <w:pPr>
        <w:ind w:left="1778" w:hanging="360"/>
      </w:pPr>
      <w:rPr>
        <w:rFonts w:ascii="Courier New" w:hAnsi="Courier New" w:cs="Courier New"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4" w15:restartNumberingAfterBreak="0">
    <w:nsid w:val="6F5A1748"/>
    <w:multiLevelType w:val="multilevel"/>
    <w:tmpl w:val="4A340710"/>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7B1311"/>
    <w:multiLevelType w:val="hybridMultilevel"/>
    <w:tmpl w:val="284088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8DD13C6"/>
    <w:multiLevelType w:val="hybridMultilevel"/>
    <w:tmpl w:val="195AD990"/>
    <w:lvl w:ilvl="0" w:tplc="050E66DA">
      <w:start w:val="1"/>
      <w:numFmt w:val="bullet"/>
      <w:lvlText w:val=""/>
      <w:lvlJc w:val="left"/>
      <w:pPr>
        <w:ind w:left="1138" w:hanging="360"/>
      </w:pPr>
      <w:rPr>
        <w:rFonts w:ascii="Symbol" w:hAnsi="Symbol" w:hint="default"/>
      </w:rPr>
    </w:lvl>
    <w:lvl w:ilvl="1" w:tplc="040C0003" w:tentative="1">
      <w:start w:val="1"/>
      <w:numFmt w:val="bullet"/>
      <w:lvlText w:val="o"/>
      <w:lvlJc w:val="left"/>
      <w:pPr>
        <w:ind w:left="1858" w:hanging="360"/>
      </w:pPr>
      <w:rPr>
        <w:rFonts w:ascii="Courier New" w:hAnsi="Courier New" w:cs="Courier New" w:hint="default"/>
      </w:rPr>
    </w:lvl>
    <w:lvl w:ilvl="2" w:tplc="040C0005" w:tentative="1">
      <w:start w:val="1"/>
      <w:numFmt w:val="bullet"/>
      <w:lvlText w:val=""/>
      <w:lvlJc w:val="left"/>
      <w:pPr>
        <w:ind w:left="2578" w:hanging="360"/>
      </w:pPr>
      <w:rPr>
        <w:rFonts w:ascii="Wingdings" w:hAnsi="Wingdings" w:hint="default"/>
      </w:rPr>
    </w:lvl>
    <w:lvl w:ilvl="3" w:tplc="040C0001" w:tentative="1">
      <w:start w:val="1"/>
      <w:numFmt w:val="bullet"/>
      <w:lvlText w:val=""/>
      <w:lvlJc w:val="left"/>
      <w:pPr>
        <w:ind w:left="3298" w:hanging="360"/>
      </w:pPr>
      <w:rPr>
        <w:rFonts w:ascii="Symbol" w:hAnsi="Symbol" w:hint="default"/>
      </w:rPr>
    </w:lvl>
    <w:lvl w:ilvl="4" w:tplc="040C0003" w:tentative="1">
      <w:start w:val="1"/>
      <w:numFmt w:val="bullet"/>
      <w:lvlText w:val="o"/>
      <w:lvlJc w:val="left"/>
      <w:pPr>
        <w:ind w:left="4018" w:hanging="360"/>
      </w:pPr>
      <w:rPr>
        <w:rFonts w:ascii="Courier New" w:hAnsi="Courier New" w:cs="Courier New" w:hint="default"/>
      </w:rPr>
    </w:lvl>
    <w:lvl w:ilvl="5" w:tplc="040C0005" w:tentative="1">
      <w:start w:val="1"/>
      <w:numFmt w:val="bullet"/>
      <w:lvlText w:val=""/>
      <w:lvlJc w:val="left"/>
      <w:pPr>
        <w:ind w:left="4738" w:hanging="360"/>
      </w:pPr>
      <w:rPr>
        <w:rFonts w:ascii="Wingdings" w:hAnsi="Wingdings" w:hint="default"/>
      </w:rPr>
    </w:lvl>
    <w:lvl w:ilvl="6" w:tplc="040C0001" w:tentative="1">
      <w:start w:val="1"/>
      <w:numFmt w:val="bullet"/>
      <w:lvlText w:val=""/>
      <w:lvlJc w:val="left"/>
      <w:pPr>
        <w:ind w:left="5458" w:hanging="360"/>
      </w:pPr>
      <w:rPr>
        <w:rFonts w:ascii="Symbol" w:hAnsi="Symbol" w:hint="default"/>
      </w:rPr>
    </w:lvl>
    <w:lvl w:ilvl="7" w:tplc="040C0003" w:tentative="1">
      <w:start w:val="1"/>
      <w:numFmt w:val="bullet"/>
      <w:lvlText w:val="o"/>
      <w:lvlJc w:val="left"/>
      <w:pPr>
        <w:ind w:left="6178" w:hanging="360"/>
      </w:pPr>
      <w:rPr>
        <w:rFonts w:ascii="Courier New" w:hAnsi="Courier New" w:cs="Courier New" w:hint="default"/>
      </w:rPr>
    </w:lvl>
    <w:lvl w:ilvl="8" w:tplc="040C0005" w:tentative="1">
      <w:start w:val="1"/>
      <w:numFmt w:val="bullet"/>
      <w:lvlText w:val=""/>
      <w:lvlJc w:val="left"/>
      <w:pPr>
        <w:ind w:left="6898" w:hanging="360"/>
      </w:pPr>
      <w:rPr>
        <w:rFonts w:ascii="Wingdings" w:hAnsi="Wingdings" w:hint="default"/>
      </w:rPr>
    </w:lvl>
  </w:abstractNum>
  <w:abstractNum w:abstractNumId="47" w15:restartNumberingAfterBreak="0">
    <w:nsid w:val="799D3E9B"/>
    <w:multiLevelType w:val="hybridMultilevel"/>
    <w:tmpl w:val="06544326"/>
    <w:lvl w:ilvl="0" w:tplc="AA32B6B6">
      <w:start w:val="1"/>
      <w:numFmt w:val="decimal"/>
      <w:pStyle w:val="Titre3"/>
      <w:lvlText w:val="2.3.%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8" w15:restartNumberingAfterBreak="0">
    <w:nsid w:val="7D772175"/>
    <w:multiLevelType w:val="hybridMultilevel"/>
    <w:tmpl w:val="602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3"/>
  </w:num>
  <w:num w:numId="4">
    <w:abstractNumId w:val="45"/>
  </w:num>
  <w:num w:numId="5">
    <w:abstractNumId w:val="9"/>
  </w:num>
  <w:num w:numId="6">
    <w:abstractNumId w:val="39"/>
  </w:num>
  <w:num w:numId="7">
    <w:abstractNumId w:val="30"/>
  </w:num>
  <w:num w:numId="8">
    <w:abstractNumId w:val="12"/>
  </w:num>
  <w:num w:numId="9">
    <w:abstractNumId w:val="7"/>
  </w:num>
  <w:num w:numId="10">
    <w:abstractNumId w:val="6"/>
  </w:num>
  <w:num w:numId="11">
    <w:abstractNumId w:val="14"/>
  </w:num>
  <w:num w:numId="12">
    <w:abstractNumId w:val="19"/>
  </w:num>
  <w:num w:numId="13">
    <w:abstractNumId w:val="37"/>
  </w:num>
  <w:num w:numId="14">
    <w:abstractNumId w:val="4"/>
  </w:num>
  <w:num w:numId="15">
    <w:abstractNumId w:val="44"/>
  </w:num>
  <w:num w:numId="16">
    <w:abstractNumId w:val="24"/>
  </w:num>
  <w:num w:numId="17">
    <w:abstractNumId w:val="47"/>
  </w:num>
  <w:num w:numId="18">
    <w:abstractNumId w:val="10"/>
  </w:num>
  <w:num w:numId="19">
    <w:abstractNumId w:val="36"/>
  </w:num>
  <w:num w:numId="20">
    <w:abstractNumId w:val="1"/>
  </w:num>
  <w:num w:numId="21">
    <w:abstractNumId w:val="21"/>
  </w:num>
  <w:num w:numId="22">
    <w:abstractNumId w:val="46"/>
  </w:num>
  <w:num w:numId="23">
    <w:abstractNumId w:val="8"/>
  </w:num>
  <w:num w:numId="24">
    <w:abstractNumId w:val="11"/>
  </w:num>
  <w:num w:numId="25">
    <w:abstractNumId w:val="35"/>
  </w:num>
  <w:num w:numId="26">
    <w:abstractNumId w:val="32"/>
  </w:num>
  <w:num w:numId="27">
    <w:abstractNumId w:val="22"/>
  </w:num>
  <w:num w:numId="28">
    <w:abstractNumId w:val="41"/>
  </w:num>
  <w:num w:numId="29">
    <w:abstractNumId w:val="16"/>
  </w:num>
  <w:num w:numId="30">
    <w:abstractNumId w:val="23"/>
  </w:num>
  <w:num w:numId="31">
    <w:abstractNumId w:val="38"/>
  </w:num>
  <w:num w:numId="32">
    <w:abstractNumId w:val="13"/>
  </w:num>
  <w:num w:numId="33">
    <w:abstractNumId w:val="31"/>
  </w:num>
  <w:num w:numId="34">
    <w:abstractNumId w:val="0"/>
  </w:num>
  <w:num w:numId="35">
    <w:abstractNumId w:val="42"/>
  </w:num>
  <w:num w:numId="36">
    <w:abstractNumId w:val="29"/>
  </w:num>
  <w:num w:numId="37">
    <w:abstractNumId w:val="33"/>
  </w:num>
  <w:num w:numId="38">
    <w:abstractNumId w:val="5"/>
  </w:num>
  <w:num w:numId="39">
    <w:abstractNumId w:val="25"/>
  </w:num>
  <w:num w:numId="40">
    <w:abstractNumId w:val="27"/>
  </w:num>
  <w:num w:numId="41">
    <w:abstractNumId w:val="43"/>
  </w:num>
  <w:num w:numId="42">
    <w:abstractNumId w:val="34"/>
  </w:num>
  <w:num w:numId="43">
    <w:abstractNumId w:val="15"/>
  </w:num>
  <w:num w:numId="44">
    <w:abstractNumId w:val="20"/>
  </w:num>
  <w:num w:numId="45">
    <w:abstractNumId w:val="18"/>
  </w:num>
  <w:num w:numId="46">
    <w:abstractNumId w:val="40"/>
  </w:num>
  <w:num w:numId="47">
    <w:abstractNumId w:val="17"/>
  </w:num>
  <w:num w:numId="48">
    <w:abstractNumId w:val="48"/>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C2D38-E4F0-4735-ACAA-57C40CA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qFormat/>
    <w:pPr>
      <w:numPr>
        <w:numId w:val="1"/>
      </w:numPr>
      <w:outlineLvl w:val="0"/>
    </w:pPr>
    <w:rPr>
      <w:rFonts w:ascii="Arial" w:hAnsi="Arial" w:cs="Arial"/>
      <w:b/>
      <w:sz w:val="28"/>
    </w:rPr>
  </w:style>
  <w:style w:type="paragraph" w:styleId="Titre2">
    <w:name w:val="heading 2"/>
    <w:basedOn w:val="Paragraphedeliste"/>
    <w:next w:val="Normal"/>
    <w:link w:val="Titre2Car"/>
    <w:unhideWhenUsed/>
    <w:qFormat/>
    <w:pPr>
      <w:numPr>
        <w:numId w:val="16"/>
      </w:numPr>
      <w:outlineLvl w:val="1"/>
    </w:pPr>
    <w:rPr>
      <w:rFonts w:ascii="Arial" w:hAnsi="Arial" w:cs="Arial"/>
      <w:i/>
      <w:sz w:val="24"/>
    </w:rPr>
  </w:style>
  <w:style w:type="paragraph" w:styleId="Titre3">
    <w:name w:val="heading 3"/>
    <w:basedOn w:val="Paragraphedeliste"/>
    <w:next w:val="Normal"/>
    <w:link w:val="Titre3Car"/>
    <w:unhideWhenUsed/>
    <w:qFormat/>
    <w:pPr>
      <w:numPr>
        <w:numId w:val="17"/>
      </w:numPr>
      <w:outlineLvl w:val="2"/>
    </w:pPr>
    <w:rPr>
      <w:rFonts w:ascii="Arial" w:hAnsi="Arial" w:cs="Arial"/>
      <w:color w:val="0000FF"/>
    </w:rPr>
  </w:style>
  <w:style w:type="paragraph" w:styleId="Titre4">
    <w:name w:val="heading 4"/>
    <w:basedOn w:val="Normal"/>
    <w:next w:val="Normal"/>
    <w:link w:val="Titre4Car"/>
    <w:unhideWhenUsed/>
    <w:qFormat/>
    <w:pPr>
      <w:numPr>
        <w:ilvl w:val="3"/>
        <w:numId w:val="3"/>
      </w:numPr>
      <w:spacing w:before="120" w:after="0" w:line="240" w:lineRule="auto"/>
      <w:jc w:val="both"/>
      <w:outlineLvl w:val="3"/>
    </w:pPr>
    <w:rPr>
      <w:rFonts w:ascii="Times New Roman" w:eastAsia="Calibri" w:hAnsi="Times New Roman" w:cs="Times New Roman"/>
      <w:sz w:val="24"/>
    </w:rPr>
  </w:style>
  <w:style w:type="paragraph" w:styleId="Titre5">
    <w:name w:val="heading 5"/>
    <w:basedOn w:val="Normal"/>
    <w:next w:val="Normal"/>
    <w:link w:val="Titre5Car"/>
    <w:unhideWhenUsed/>
    <w:qFormat/>
    <w:pPr>
      <w:keepNext/>
      <w:keepLines/>
      <w:numPr>
        <w:ilvl w:val="4"/>
        <w:numId w:val="3"/>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itre6">
    <w:name w:val="heading 6"/>
    <w:basedOn w:val="Normal"/>
    <w:next w:val="Normal"/>
    <w:link w:val="Titre6Car"/>
    <w:uiPriority w:val="9"/>
    <w:semiHidden/>
    <w:unhideWhenUsed/>
    <w:qFormat/>
    <w:pPr>
      <w:keepNext/>
      <w:keepLines/>
      <w:numPr>
        <w:ilvl w:val="5"/>
        <w:numId w:val="3"/>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itre7">
    <w:name w:val="heading 7"/>
    <w:basedOn w:val="Normal"/>
    <w:next w:val="Normal"/>
    <w:link w:val="Titre7Car"/>
    <w:uiPriority w:val="9"/>
    <w:semiHidden/>
    <w:unhideWhenUsed/>
    <w:qFormat/>
    <w:pPr>
      <w:keepNext/>
      <w:keepLines/>
      <w:numPr>
        <w:ilvl w:val="6"/>
        <w:numId w:val="3"/>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itre8">
    <w:name w:val="heading 8"/>
    <w:basedOn w:val="Normal"/>
    <w:next w:val="Normal"/>
    <w:link w:val="Titre8Car"/>
    <w:uiPriority w:val="9"/>
    <w:semiHidden/>
    <w:unhideWhenUsed/>
    <w:qFormat/>
    <w:pPr>
      <w:keepNext/>
      <w:keepLines/>
      <w:numPr>
        <w:ilvl w:val="7"/>
        <w:numId w:val="3"/>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3"/>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1,E.e,E,En-tête11,E.e1,E1,En-tête-1,En-tête-2"/>
    <w:basedOn w:val="Normal"/>
    <w:link w:val="En-tteCar"/>
    <w:uiPriority w:val="99"/>
    <w:unhideWhenUsed/>
    <w:pPr>
      <w:tabs>
        <w:tab w:val="center" w:pos="4536"/>
        <w:tab w:val="right" w:pos="9072"/>
      </w:tabs>
      <w:spacing w:after="0" w:line="240" w:lineRule="auto"/>
    </w:pPr>
  </w:style>
  <w:style w:type="character" w:customStyle="1" w:styleId="En-tteCar">
    <w:name w:val="En-tête Car"/>
    <w:aliases w:val="En-tête1 Car,E.e Car,E Car,En-tête11 Car,E.e1 Car,E1 Car,En-tête-1 Car,En-tête-2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u w:val="single"/>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1">
    <w:name w:val="En-tête Car1"/>
    <w:uiPriority w:val="99"/>
    <w:rPr>
      <w:rFonts w:ascii="Arial" w:eastAsia="Times New Roman" w:hAnsi="Arial" w:cs="Arial"/>
      <w:szCs w:val="24"/>
    </w:rPr>
  </w:style>
  <w:style w:type="paragraph" w:styleId="Paragraphedeliste">
    <w:name w:val="List Paragraph"/>
    <w:basedOn w:val="Normal"/>
    <w:link w:val="ParagraphedelisteCar"/>
    <w:uiPriority w:val="34"/>
    <w:qFormat/>
    <w:pPr>
      <w:ind w:left="720"/>
      <w:contextualSpacing/>
    </w:pPr>
  </w:style>
  <w:style w:type="character" w:customStyle="1" w:styleId="Titre1Car">
    <w:name w:val="Titre 1 Car"/>
    <w:basedOn w:val="Policepardfaut"/>
    <w:link w:val="Titre1"/>
    <w:rPr>
      <w:rFonts w:ascii="Arial" w:hAnsi="Arial" w:cs="Arial"/>
      <w:b/>
      <w:sz w:val="28"/>
    </w:rPr>
  </w:style>
  <w:style w:type="character" w:customStyle="1" w:styleId="Titre2Car">
    <w:name w:val="Titre 2 Car"/>
    <w:basedOn w:val="Policepardfaut"/>
    <w:link w:val="Titre2"/>
    <w:rPr>
      <w:rFonts w:ascii="Arial" w:hAnsi="Arial" w:cs="Arial"/>
      <w:i/>
      <w:sz w:val="24"/>
    </w:rPr>
  </w:style>
  <w:style w:type="character" w:customStyle="1" w:styleId="Titre3Car">
    <w:name w:val="Titre 3 Car"/>
    <w:basedOn w:val="Policepardfaut"/>
    <w:link w:val="Titre3"/>
    <w:rPr>
      <w:rFonts w:ascii="Arial" w:hAnsi="Arial" w:cs="Arial"/>
      <w:color w:val="0000FF"/>
    </w:rPr>
  </w:style>
  <w:style w:type="character" w:customStyle="1" w:styleId="Titre4Car">
    <w:name w:val="Titre 4 Car"/>
    <w:basedOn w:val="Policepardfaut"/>
    <w:link w:val="Titre4"/>
    <w:rPr>
      <w:rFonts w:ascii="Times New Roman" w:eastAsia="Calibri" w:hAnsi="Times New Roman" w:cs="Times New Roman"/>
      <w:sz w:val="24"/>
    </w:rPr>
  </w:style>
  <w:style w:type="character" w:customStyle="1" w:styleId="Titre5Car">
    <w:name w:val="Titre 5 Car"/>
    <w:basedOn w:val="Policepardfaut"/>
    <w:link w:val="Titre5"/>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 w:val="24"/>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character" w:customStyle="1" w:styleId="ParagraphedelisteCar">
    <w:name w:val="Paragraphe de liste Car"/>
    <w:link w:val="Paragraphedeliste"/>
    <w:uiPriority w:val="34"/>
  </w:style>
  <w:style w:type="paragraph" w:customStyle="1" w:styleId="CORPSDETEXTEDICO">
    <w:name w:val="CORPS DE TEXTE DICO"/>
    <w:basedOn w:val="Normal"/>
    <w:pPr>
      <w:suppressAutoHyphens/>
      <w:spacing w:before="60" w:after="0" w:line="240" w:lineRule="auto"/>
      <w:jc w:val="both"/>
    </w:pPr>
    <w:rPr>
      <w:rFonts w:ascii="Verdana" w:eastAsia="Times New Roman" w:hAnsi="Verdana" w:cs="Times"/>
      <w:sz w:val="20"/>
      <w:szCs w:val="24"/>
      <w:lang w:eastAsia="ar-SA"/>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20"/>
    </w:pPr>
  </w:style>
  <w:style w:type="paragraph" w:styleId="TM3">
    <w:name w:val="toc 3"/>
    <w:basedOn w:val="Normal"/>
    <w:next w:val="Normal"/>
    <w:autoRedefine/>
    <w:uiPriority w:val="39"/>
    <w:unhideWhenUsed/>
    <w:pPr>
      <w:spacing w:after="100"/>
      <w:ind w:left="440"/>
    </w:pPr>
  </w:style>
  <w:style w:type="table" w:customStyle="1" w:styleId="Grilledutableau1">
    <w:name w:val="Grille du tableau1"/>
    <w:basedOn w:val="TableauNormal"/>
    <w:next w:val="Grilledutableau"/>
    <w:uiPriority w:val="3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suivivisit">
    <w:name w:val="FollowedHyperlink"/>
    <w:basedOn w:val="Policepardfaut"/>
    <w:uiPriority w:val="99"/>
    <w:semiHidden/>
    <w:unhideWhenUsed/>
    <w:rPr>
      <w:color w:val="954F72" w:themeColor="followedHyperlink"/>
      <w:u w:val="single"/>
    </w:rPr>
  </w:style>
  <w:style w:type="character" w:styleId="lev">
    <w:name w:val="Strong"/>
    <w:uiPriority w:val="22"/>
    <w:qFormat/>
    <w:rPr>
      <w:b/>
      <w:bCs/>
    </w:rPr>
  </w:style>
  <w:style w:type="paragraph" w:styleId="Rvision">
    <w:name w:val="Revision"/>
    <w:hidden/>
    <w:uiPriority w:val="99"/>
    <w:semiHidden/>
    <w:pPr>
      <w:spacing w:after="0" w:line="240" w:lineRule="auto"/>
    </w:pPr>
  </w:style>
  <w:style w:type="paragraph" w:customStyle="1" w:styleId="Texte">
    <w:name w:val="Texte"/>
    <w:basedOn w:val="Corpsdetexte"/>
    <w:link w:val="TexteCar"/>
    <w:qFormat/>
    <w:pPr>
      <w:spacing w:before="120" w:line="252" w:lineRule="auto"/>
      <w:jc w:val="both"/>
    </w:pPr>
    <w:rPr>
      <w:rFonts w:ascii="Arial" w:eastAsiaTheme="minorEastAsia" w:hAnsi="Arial" w:cs="Arial"/>
      <w:sz w:val="20"/>
      <w:szCs w:val="20"/>
    </w:rPr>
  </w:style>
  <w:style w:type="character" w:customStyle="1" w:styleId="TexteCar">
    <w:name w:val="Texte Car"/>
    <w:link w:val="Texte"/>
    <w:rPr>
      <w:rFonts w:ascii="Arial" w:eastAsiaTheme="minorEastAsia" w:hAnsi="Arial" w:cs="Arial"/>
      <w:sz w:val="20"/>
      <w:szCs w:val="20"/>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26">
      <w:bodyDiv w:val="1"/>
      <w:marLeft w:val="0"/>
      <w:marRight w:val="0"/>
      <w:marTop w:val="0"/>
      <w:marBottom w:val="0"/>
      <w:divBdr>
        <w:top w:val="none" w:sz="0" w:space="0" w:color="auto"/>
        <w:left w:val="none" w:sz="0" w:space="0" w:color="auto"/>
        <w:bottom w:val="none" w:sz="0" w:space="0" w:color="auto"/>
        <w:right w:val="none" w:sz="0" w:space="0" w:color="auto"/>
      </w:divBdr>
    </w:div>
    <w:div w:id="174195195">
      <w:bodyDiv w:val="1"/>
      <w:marLeft w:val="0"/>
      <w:marRight w:val="0"/>
      <w:marTop w:val="0"/>
      <w:marBottom w:val="0"/>
      <w:divBdr>
        <w:top w:val="none" w:sz="0" w:space="0" w:color="auto"/>
        <w:left w:val="none" w:sz="0" w:space="0" w:color="auto"/>
        <w:bottom w:val="none" w:sz="0" w:space="0" w:color="auto"/>
        <w:right w:val="none" w:sz="0" w:space="0" w:color="auto"/>
      </w:divBdr>
    </w:div>
    <w:div w:id="266667205">
      <w:bodyDiv w:val="1"/>
      <w:marLeft w:val="0"/>
      <w:marRight w:val="0"/>
      <w:marTop w:val="0"/>
      <w:marBottom w:val="0"/>
      <w:divBdr>
        <w:top w:val="none" w:sz="0" w:space="0" w:color="auto"/>
        <w:left w:val="none" w:sz="0" w:space="0" w:color="auto"/>
        <w:bottom w:val="none" w:sz="0" w:space="0" w:color="auto"/>
        <w:right w:val="none" w:sz="0" w:space="0" w:color="auto"/>
      </w:divBdr>
    </w:div>
    <w:div w:id="446969948">
      <w:bodyDiv w:val="1"/>
      <w:marLeft w:val="0"/>
      <w:marRight w:val="0"/>
      <w:marTop w:val="0"/>
      <w:marBottom w:val="0"/>
      <w:divBdr>
        <w:top w:val="none" w:sz="0" w:space="0" w:color="auto"/>
        <w:left w:val="none" w:sz="0" w:space="0" w:color="auto"/>
        <w:bottom w:val="none" w:sz="0" w:space="0" w:color="auto"/>
        <w:right w:val="none" w:sz="0" w:space="0" w:color="auto"/>
      </w:divBdr>
    </w:div>
    <w:div w:id="477651693">
      <w:bodyDiv w:val="1"/>
      <w:marLeft w:val="0"/>
      <w:marRight w:val="0"/>
      <w:marTop w:val="0"/>
      <w:marBottom w:val="0"/>
      <w:divBdr>
        <w:top w:val="none" w:sz="0" w:space="0" w:color="auto"/>
        <w:left w:val="none" w:sz="0" w:space="0" w:color="auto"/>
        <w:bottom w:val="none" w:sz="0" w:space="0" w:color="auto"/>
        <w:right w:val="none" w:sz="0" w:space="0" w:color="auto"/>
      </w:divBdr>
    </w:div>
    <w:div w:id="771708107">
      <w:bodyDiv w:val="1"/>
      <w:marLeft w:val="0"/>
      <w:marRight w:val="0"/>
      <w:marTop w:val="0"/>
      <w:marBottom w:val="0"/>
      <w:divBdr>
        <w:top w:val="none" w:sz="0" w:space="0" w:color="auto"/>
        <w:left w:val="none" w:sz="0" w:space="0" w:color="auto"/>
        <w:bottom w:val="none" w:sz="0" w:space="0" w:color="auto"/>
        <w:right w:val="none" w:sz="0" w:space="0" w:color="auto"/>
      </w:divBdr>
    </w:div>
    <w:div w:id="816461456">
      <w:bodyDiv w:val="1"/>
      <w:marLeft w:val="0"/>
      <w:marRight w:val="0"/>
      <w:marTop w:val="0"/>
      <w:marBottom w:val="0"/>
      <w:divBdr>
        <w:top w:val="none" w:sz="0" w:space="0" w:color="auto"/>
        <w:left w:val="none" w:sz="0" w:space="0" w:color="auto"/>
        <w:bottom w:val="none" w:sz="0" w:space="0" w:color="auto"/>
        <w:right w:val="none" w:sz="0" w:space="0" w:color="auto"/>
      </w:divBdr>
    </w:div>
    <w:div w:id="832642574">
      <w:bodyDiv w:val="1"/>
      <w:marLeft w:val="0"/>
      <w:marRight w:val="0"/>
      <w:marTop w:val="0"/>
      <w:marBottom w:val="0"/>
      <w:divBdr>
        <w:top w:val="none" w:sz="0" w:space="0" w:color="auto"/>
        <w:left w:val="none" w:sz="0" w:space="0" w:color="auto"/>
        <w:bottom w:val="none" w:sz="0" w:space="0" w:color="auto"/>
        <w:right w:val="none" w:sz="0" w:space="0" w:color="auto"/>
      </w:divBdr>
    </w:div>
    <w:div w:id="1127579103">
      <w:bodyDiv w:val="1"/>
      <w:marLeft w:val="0"/>
      <w:marRight w:val="0"/>
      <w:marTop w:val="0"/>
      <w:marBottom w:val="0"/>
      <w:divBdr>
        <w:top w:val="none" w:sz="0" w:space="0" w:color="auto"/>
        <w:left w:val="none" w:sz="0" w:space="0" w:color="auto"/>
        <w:bottom w:val="none" w:sz="0" w:space="0" w:color="auto"/>
        <w:right w:val="none" w:sz="0" w:space="0" w:color="auto"/>
      </w:divBdr>
    </w:div>
    <w:div w:id="1239369111">
      <w:bodyDiv w:val="1"/>
      <w:marLeft w:val="0"/>
      <w:marRight w:val="0"/>
      <w:marTop w:val="0"/>
      <w:marBottom w:val="0"/>
      <w:divBdr>
        <w:top w:val="none" w:sz="0" w:space="0" w:color="auto"/>
        <w:left w:val="none" w:sz="0" w:space="0" w:color="auto"/>
        <w:bottom w:val="none" w:sz="0" w:space="0" w:color="auto"/>
        <w:right w:val="none" w:sz="0" w:space="0" w:color="auto"/>
      </w:divBdr>
    </w:div>
    <w:div w:id="1280451139">
      <w:bodyDiv w:val="1"/>
      <w:marLeft w:val="0"/>
      <w:marRight w:val="0"/>
      <w:marTop w:val="0"/>
      <w:marBottom w:val="0"/>
      <w:divBdr>
        <w:top w:val="none" w:sz="0" w:space="0" w:color="auto"/>
        <w:left w:val="none" w:sz="0" w:space="0" w:color="auto"/>
        <w:bottom w:val="none" w:sz="0" w:space="0" w:color="auto"/>
        <w:right w:val="none" w:sz="0" w:space="0" w:color="auto"/>
      </w:divBdr>
    </w:div>
    <w:div w:id="1449351071">
      <w:bodyDiv w:val="1"/>
      <w:marLeft w:val="0"/>
      <w:marRight w:val="0"/>
      <w:marTop w:val="0"/>
      <w:marBottom w:val="0"/>
      <w:divBdr>
        <w:top w:val="none" w:sz="0" w:space="0" w:color="auto"/>
        <w:left w:val="none" w:sz="0" w:space="0" w:color="auto"/>
        <w:bottom w:val="none" w:sz="0" w:space="0" w:color="auto"/>
        <w:right w:val="none" w:sz="0" w:space="0" w:color="auto"/>
      </w:divBdr>
    </w:div>
    <w:div w:id="1677343436">
      <w:bodyDiv w:val="1"/>
      <w:marLeft w:val="0"/>
      <w:marRight w:val="0"/>
      <w:marTop w:val="0"/>
      <w:marBottom w:val="0"/>
      <w:divBdr>
        <w:top w:val="none" w:sz="0" w:space="0" w:color="auto"/>
        <w:left w:val="none" w:sz="0" w:space="0" w:color="auto"/>
        <w:bottom w:val="none" w:sz="0" w:space="0" w:color="auto"/>
        <w:right w:val="none" w:sz="0" w:space="0" w:color="auto"/>
      </w:divBdr>
      <w:divsChild>
        <w:div w:id="1440484899">
          <w:marLeft w:val="864"/>
          <w:marRight w:val="0"/>
          <w:marTop w:val="0"/>
          <w:marBottom w:val="0"/>
          <w:divBdr>
            <w:top w:val="none" w:sz="0" w:space="0" w:color="auto"/>
            <w:left w:val="none" w:sz="0" w:space="0" w:color="auto"/>
            <w:bottom w:val="none" w:sz="0" w:space="0" w:color="auto"/>
            <w:right w:val="none" w:sz="0" w:space="0" w:color="auto"/>
          </w:divBdr>
        </w:div>
      </w:divsChild>
    </w:div>
    <w:div w:id="1691763102">
      <w:bodyDiv w:val="1"/>
      <w:marLeft w:val="0"/>
      <w:marRight w:val="0"/>
      <w:marTop w:val="0"/>
      <w:marBottom w:val="0"/>
      <w:divBdr>
        <w:top w:val="none" w:sz="0" w:space="0" w:color="auto"/>
        <w:left w:val="none" w:sz="0" w:space="0" w:color="auto"/>
        <w:bottom w:val="none" w:sz="0" w:space="0" w:color="auto"/>
        <w:right w:val="none" w:sz="0" w:space="0" w:color="auto"/>
      </w:divBdr>
    </w:div>
    <w:div w:id="1768427235">
      <w:bodyDiv w:val="1"/>
      <w:marLeft w:val="0"/>
      <w:marRight w:val="0"/>
      <w:marTop w:val="0"/>
      <w:marBottom w:val="0"/>
      <w:divBdr>
        <w:top w:val="none" w:sz="0" w:space="0" w:color="auto"/>
        <w:left w:val="none" w:sz="0" w:space="0" w:color="auto"/>
        <w:bottom w:val="none" w:sz="0" w:space="0" w:color="auto"/>
        <w:right w:val="none" w:sz="0" w:space="0" w:color="auto"/>
      </w:divBdr>
    </w:div>
    <w:div w:id="1806192424">
      <w:bodyDiv w:val="1"/>
      <w:marLeft w:val="0"/>
      <w:marRight w:val="0"/>
      <w:marTop w:val="0"/>
      <w:marBottom w:val="0"/>
      <w:divBdr>
        <w:top w:val="none" w:sz="0" w:space="0" w:color="auto"/>
        <w:left w:val="none" w:sz="0" w:space="0" w:color="auto"/>
        <w:bottom w:val="none" w:sz="0" w:space="0" w:color="auto"/>
        <w:right w:val="none" w:sz="0" w:space="0" w:color="auto"/>
      </w:divBdr>
    </w:div>
    <w:div w:id="1914048887">
      <w:bodyDiv w:val="1"/>
      <w:marLeft w:val="0"/>
      <w:marRight w:val="0"/>
      <w:marTop w:val="0"/>
      <w:marBottom w:val="0"/>
      <w:divBdr>
        <w:top w:val="none" w:sz="0" w:space="0" w:color="auto"/>
        <w:left w:val="none" w:sz="0" w:space="0" w:color="auto"/>
        <w:bottom w:val="none" w:sz="0" w:space="0" w:color="auto"/>
        <w:right w:val="none" w:sz="0" w:space="0" w:color="auto"/>
      </w:divBdr>
      <w:divsChild>
        <w:div w:id="958416263">
          <w:marLeft w:val="274"/>
          <w:marRight w:val="0"/>
          <w:marTop w:val="0"/>
          <w:marBottom w:val="0"/>
          <w:divBdr>
            <w:top w:val="none" w:sz="0" w:space="0" w:color="auto"/>
            <w:left w:val="none" w:sz="0" w:space="0" w:color="auto"/>
            <w:bottom w:val="none" w:sz="0" w:space="0" w:color="auto"/>
            <w:right w:val="none" w:sz="0" w:space="0" w:color="auto"/>
          </w:divBdr>
        </w:div>
      </w:divsChild>
    </w:div>
    <w:div w:id="20003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opper.cisirh.budget.gouv.fr" TargetMode="External"/><Relationship Id="rId18" Type="http://schemas.openxmlformats.org/officeDocument/2006/relationships/hyperlink" Target="https://ingres.cisirh.rie.gouv.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pissarho.cisirh.rie.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ta.gouv.fr/fr/organizations/ministere-de-laction-et-des-comptes-publics-cisir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ta.economie.gouv.fr"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ortail.cisirh.rie.gouv.f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C:\Users\mponthiaux-adc\Desktop\Intranet\Logo%20Charte%20graphique\www.economie.gouv.fr\cisir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mponthiaux-adc\Desktop\Intranet\Logo%20Charte%20graphique\www.economie.gouv.fr\cisir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666EBBB-7E4A-415A-8444-C70FC7AB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17</Pages>
  <Words>4077</Words>
  <Characters>22426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PONTHIAUX Marine</dc:creator>
  <cp:keywords/>
  <dc:description/>
  <cp:lastModifiedBy>KARANCI Derya</cp:lastModifiedBy>
  <cp:revision>27</cp:revision>
  <cp:lastPrinted>2022-06-22T06:26:00Z</cp:lastPrinted>
  <dcterms:created xsi:type="dcterms:W3CDTF">2023-07-03T09:45:00Z</dcterms:created>
  <dcterms:modified xsi:type="dcterms:W3CDTF">2024-02-08T13:37:00Z</dcterms:modified>
</cp:coreProperties>
</file>