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3C9" w:rsidRDefault="00A743C9">
      <w:pPr>
        <w:widowControl/>
        <w:jc w:val="center"/>
        <w:rPr>
          <w:b/>
        </w:rPr>
      </w:pPr>
    </w:p>
    <w:p w:rsidR="00A743C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MARCHE PUBLIC DE </w:t>
      </w:r>
      <w:r>
        <w:rPr>
          <w:b/>
          <w:sz w:val="22"/>
          <w:szCs w:val="22"/>
        </w:rPr>
        <w:t>PRESTATIONS INTELLECTUELLES</w:t>
      </w:r>
      <w:r>
        <w:rPr>
          <w:b/>
          <w:color w:val="000000"/>
          <w:sz w:val="22"/>
          <w:szCs w:val="22"/>
        </w:rPr>
        <w:t xml:space="preserve">  </w:t>
      </w:r>
    </w:p>
    <w:p w:rsidR="00A743C9" w:rsidRDefault="00A743C9">
      <w:pPr>
        <w:widowControl/>
        <w:jc w:val="center"/>
        <w:rPr>
          <w:b/>
        </w:rPr>
      </w:pPr>
    </w:p>
    <w:p w:rsidR="00A743C9" w:rsidRDefault="00A743C9">
      <w:pPr>
        <w:widowControl/>
        <w:jc w:val="center"/>
        <w:rPr>
          <w:b/>
        </w:rPr>
      </w:pPr>
    </w:p>
    <w:p w:rsidR="00A743C9" w:rsidRDefault="00A743C9">
      <w:pPr>
        <w:widowControl/>
        <w:jc w:val="center"/>
        <w:rPr>
          <w:b/>
        </w:rPr>
      </w:pPr>
    </w:p>
    <w:p w:rsidR="00A743C9" w:rsidRDefault="00A743C9">
      <w:pPr>
        <w:widowControl/>
        <w:jc w:val="center"/>
        <w:rPr>
          <w:rFonts w:ascii="Calibri" w:eastAsia="Calibri" w:hAnsi="Calibri" w:cs="Calibri"/>
          <w:color w:val="1F497D"/>
          <w:sz w:val="48"/>
          <w:szCs w:val="48"/>
        </w:rPr>
      </w:pPr>
    </w:p>
    <w:p w:rsidR="00A743C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CAHIER DES CLAUSES ADMINISTRATIVES PARTICULIÈRES </w:t>
      </w:r>
    </w:p>
    <w:p w:rsidR="00A743C9" w:rsidRDefault="00A743C9">
      <w:pPr>
        <w:widowControl/>
        <w:jc w:val="center"/>
        <w:rPr>
          <w:b/>
        </w:rPr>
      </w:pPr>
    </w:p>
    <w:p w:rsidR="00A743C9" w:rsidRDefault="00A743C9">
      <w:pPr>
        <w:widowControl/>
        <w:jc w:val="center"/>
        <w:rPr>
          <w:b/>
        </w:rPr>
      </w:pPr>
    </w:p>
    <w:p w:rsidR="00A743C9" w:rsidRDefault="00A743C9">
      <w:pPr>
        <w:widowControl/>
        <w:jc w:val="center"/>
        <w:rPr>
          <w:b/>
        </w:rPr>
      </w:pPr>
    </w:p>
    <w:p w:rsidR="00A743C9" w:rsidRDefault="00A743C9">
      <w:pPr>
        <w:widowControl/>
        <w:jc w:val="center"/>
        <w:rPr>
          <w:b/>
        </w:rPr>
      </w:pPr>
    </w:p>
    <w:p w:rsidR="00A743C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A743C9" w:rsidRDefault="00A743C9">
      <w:pPr>
        <w:widowControl/>
        <w:jc w:val="center"/>
        <w:rPr>
          <w:b/>
        </w:rPr>
      </w:pPr>
    </w:p>
    <w:p w:rsidR="00A743C9" w:rsidRDefault="00A743C9">
      <w:pPr>
        <w:widowControl/>
        <w:jc w:val="center"/>
        <w:rPr>
          <w:b/>
        </w:rPr>
      </w:pPr>
    </w:p>
    <w:p w:rsidR="00A743C9" w:rsidRDefault="00A743C9">
      <w:pPr>
        <w:widowControl/>
        <w:jc w:val="center"/>
        <w:rPr>
          <w:b/>
        </w:rPr>
      </w:pPr>
    </w:p>
    <w:p w:rsidR="00A743C9" w:rsidRDefault="00A743C9">
      <w:pPr>
        <w:widowControl/>
        <w:jc w:val="center"/>
        <w:rPr>
          <w:b/>
        </w:rPr>
      </w:pPr>
    </w:p>
    <w:p w:rsidR="00A743C9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 pouvoir adjudicateur : Groupement d'Intérêt Public Seine-Aval</w:t>
      </w:r>
    </w:p>
    <w:p w:rsidR="00A743C9" w:rsidRDefault="00A743C9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</w:p>
    <w:p w:rsidR="00A743C9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Groupement d'Intérêt Public</w:t>
      </w:r>
    </w:p>
    <w:p w:rsidR="00A743C9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Seine-Aval</w:t>
      </w:r>
    </w:p>
    <w:p w:rsidR="00A743C9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Hangar C - Espace des Marégraphe</w:t>
      </w:r>
    </w:p>
    <w:p w:rsidR="00A743C9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CS 41174</w:t>
      </w:r>
    </w:p>
    <w:p w:rsidR="00A743C9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76176 ROUEN CEDEX 1</w:t>
      </w:r>
    </w:p>
    <w:p w:rsidR="00A743C9" w:rsidRDefault="00A743C9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</w:p>
    <w:p w:rsidR="00A743C9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CCAP établi en application du Code de la commande publique et du CCAG Prestations intellectuelles, relatif à :</w:t>
      </w:r>
    </w:p>
    <w:p w:rsidR="00A743C9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</w:t>
      </w:r>
    </w:p>
    <w:p w:rsidR="00A743C9" w:rsidRDefault="00A743C9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</w:p>
    <w:p w:rsidR="00A743C9" w:rsidRDefault="00000000">
      <w:pPr>
        <w:widowControl/>
        <w:spacing w:before="60" w:after="300"/>
        <w:ind w:left="2" w:hanging="4"/>
        <w:jc w:val="center"/>
        <w:rPr>
          <w:rFonts w:ascii="Calibri" w:eastAsia="Calibri" w:hAnsi="Calibri" w:cs="Calibri"/>
          <w:b/>
          <w:color w:val="1F497D"/>
          <w:sz w:val="40"/>
          <w:szCs w:val="40"/>
        </w:rPr>
      </w:pPr>
      <w:r>
        <w:rPr>
          <w:rFonts w:ascii="Calibri" w:eastAsia="Calibri" w:hAnsi="Calibri" w:cs="Calibri"/>
          <w:b/>
          <w:color w:val="1F497D"/>
          <w:sz w:val="40"/>
          <w:szCs w:val="40"/>
        </w:rPr>
        <w:t>Mesures automatisées de la qualité de l’eau en amont de l’estuaire de la Seine</w:t>
      </w:r>
    </w:p>
    <w:p w:rsidR="00A743C9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</w:t>
      </w:r>
    </w:p>
    <w:p w:rsidR="00A743C9" w:rsidRDefault="00A743C9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</w:p>
    <w:p w:rsidR="00A743C9" w:rsidRDefault="00A743C9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</w:p>
    <w:p w:rsidR="00A743C9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Appel d'offres ouvert en application de l'(des) articles </w:t>
      </w:r>
      <w:r>
        <w:rPr>
          <w:b/>
          <w:sz w:val="22"/>
          <w:szCs w:val="22"/>
        </w:rPr>
        <w:t>R2124-3 1° et 3</w:t>
      </w:r>
      <w:r>
        <w:rPr>
          <w:b/>
          <w:color w:val="000000"/>
          <w:sz w:val="22"/>
          <w:szCs w:val="22"/>
        </w:rPr>
        <w:t xml:space="preserve">, R2161-2 à R2161-5 du </w:t>
      </w:r>
      <w:r>
        <w:rPr>
          <w:b/>
          <w:sz w:val="22"/>
          <w:szCs w:val="22"/>
        </w:rPr>
        <w:t>c</w:t>
      </w:r>
      <w:r>
        <w:rPr>
          <w:b/>
          <w:color w:val="000000"/>
          <w:sz w:val="22"/>
          <w:szCs w:val="22"/>
        </w:rPr>
        <w:t>ode de la commande publique.</w:t>
      </w:r>
    </w:p>
    <w:p w:rsidR="00A743C9" w:rsidRDefault="00A743C9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</w:rPr>
      </w:pPr>
    </w:p>
    <w:p w:rsidR="00A743C9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</w:rPr>
        <w:t xml:space="preserve">Date et heure limites de remise des offres : le </w:t>
      </w:r>
      <w:r>
        <w:rPr>
          <w:b/>
          <w:sz w:val="22"/>
          <w:szCs w:val="22"/>
        </w:rPr>
        <w:t xml:space="preserve">13 mars 2023  à 12h00 </w:t>
      </w:r>
    </w:p>
    <w:p w:rsidR="00A743C9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br w:type="page"/>
      </w:r>
    </w:p>
    <w:p w:rsidR="00A743C9" w:rsidRDefault="00A743C9">
      <w:pPr>
        <w:keepNext/>
        <w:widowControl/>
        <w:jc w:val="center"/>
        <w:rPr>
          <w:b/>
          <w:sz w:val="28"/>
          <w:szCs w:val="28"/>
        </w:rPr>
      </w:pPr>
    </w:p>
    <w:p w:rsidR="00A743C9" w:rsidRDefault="00A743C9">
      <w:pPr>
        <w:keepNext/>
        <w:widowControl/>
      </w:pPr>
    </w:p>
    <w:p w:rsidR="00A743C9" w:rsidRDefault="00A743C9">
      <w:pPr>
        <w:keepNext/>
        <w:widowControl/>
      </w:pPr>
    </w:p>
    <w:p w:rsidR="00A743C9" w:rsidRDefault="00A743C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743C9" w:rsidRDefault="00000000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rFonts w:ascii="Cambria" w:eastAsia="Cambria" w:hAnsi="Cambria" w:cs="Cambria"/>
          <w:color w:val="2F5496"/>
          <w:sz w:val="32"/>
          <w:szCs w:val="32"/>
        </w:rPr>
      </w:pPr>
      <w:r>
        <w:rPr>
          <w:rFonts w:ascii="Cambria" w:eastAsia="Cambria" w:hAnsi="Cambria" w:cs="Cambria"/>
          <w:color w:val="2F5496"/>
          <w:sz w:val="32"/>
          <w:szCs w:val="32"/>
        </w:rPr>
        <w:t>Sommaire</w:t>
      </w:r>
    </w:p>
    <w:sdt>
      <w:sdtPr>
        <w:id w:val="-484247237"/>
        <w:docPartObj>
          <w:docPartGallery w:val="Table of Contents"/>
          <w:docPartUnique/>
        </w:docPartObj>
      </w:sdtPr>
      <w:sdtContent>
        <w:p w:rsidR="00A743C9" w:rsidRDefault="00000000">
          <w:pPr>
            <w:tabs>
              <w:tab w:val="right" w:pos="9071"/>
            </w:tabs>
            <w:spacing w:before="8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Article 1 - Objet du marché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200"/>
            <w:rPr>
              <w:color w:val="000000"/>
            </w:rPr>
          </w:pPr>
          <w:hyperlink w:anchor="_heading=h.30j0zll">
            <w:r>
              <w:rPr>
                <w:color w:val="000000"/>
              </w:rPr>
              <w:t>Article 2 - Décomposition du marché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1fob9te">
            <w:r>
              <w:rPr>
                <w:color w:val="000000"/>
              </w:rPr>
              <w:t>2-1-Allotissement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color w:val="000000"/>
            </w:rPr>
            <w:t>3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3znysh7">
            <w:r>
              <w:rPr>
                <w:color w:val="000000"/>
              </w:rPr>
              <w:t>2-2-Forme du marché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color w:val="000000"/>
            </w:rPr>
            <w:t>3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200"/>
            <w:rPr>
              <w:color w:val="000000"/>
            </w:rPr>
          </w:pPr>
          <w:hyperlink w:anchor="_heading=h.2et92p0">
            <w:r>
              <w:rPr>
                <w:color w:val="000000"/>
              </w:rPr>
              <w:t>Article 3 - Généralités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tyjcwt">
            <w:r>
              <w:rPr>
                <w:color w:val="000000"/>
              </w:rPr>
              <w:t>3-1-Pièces contractuelles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color w:val="000000"/>
            </w:rPr>
            <w:t>3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3dy6vkm">
            <w:r>
              <w:rPr>
                <w:color w:val="000000"/>
              </w:rPr>
              <w:t>3-2-Sous-traitance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color w:val="000000"/>
            </w:rPr>
            <w:t>3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200"/>
            <w:rPr>
              <w:color w:val="000000"/>
            </w:rPr>
          </w:pPr>
          <w:hyperlink w:anchor="_heading=h.1t3h5sf">
            <w:r>
              <w:rPr>
                <w:color w:val="000000"/>
              </w:rPr>
              <w:t>Article 4 - Durée du contrat - Délai d'exécution des prestations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4d34og8">
            <w:r>
              <w:rPr>
                <w:color w:val="000000"/>
              </w:rPr>
              <w:t>4-1-Durée du contrat - Délai d'exécution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color w:val="000000"/>
            </w:rPr>
            <w:t>4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2s8eyo1">
            <w:r>
              <w:rPr>
                <w:color w:val="000000"/>
              </w:rPr>
              <w:t>4-2-Pénalités de retard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color w:val="000000"/>
            </w:rPr>
            <w:t>4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200"/>
            <w:rPr>
              <w:color w:val="000000"/>
            </w:rPr>
          </w:pPr>
          <w:hyperlink w:anchor="_heading=h.17dp8vu">
            <w:r>
              <w:rPr>
                <w:color w:val="000000"/>
              </w:rPr>
              <w:t>Article 5 - Prix et règlement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3rdcrjn">
            <w:r>
              <w:rPr>
                <w:color w:val="000000"/>
              </w:rPr>
              <w:t>5-1-Contenu des prix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color w:val="000000"/>
            </w:rPr>
            <w:t>4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26in1rg">
            <w:r>
              <w:rPr>
                <w:color w:val="000000"/>
              </w:rPr>
              <w:t>5-2-Variation des prix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_heading=h.26in1rg \h </w:instrText>
          </w:r>
          <w:r>
            <w:fldChar w:fldCharType="separate"/>
          </w:r>
          <w:r>
            <w:rPr>
              <w:color w:val="000000"/>
            </w:rPr>
            <w:t>4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lnxbz9">
            <w:r>
              <w:rPr>
                <w:color w:val="000000"/>
              </w:rPr>
              <w:t>5-3-Modalités de règlement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_heading=h.lnxbz9 \h </w:instrText>
          </w:r>
          <w:r>
            <w:fldChar w:fldCharType="separate"/>
          </w:r>
          <w:r>
            <w:rPr>
              <w:color w:val="000000"/>
            </w:rPr>
            <w:t>4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35nkun2">
            <w:r>
              <w:rPr>
                <w:color w:val="000000"/>
              </w:rPr>
              <w:t>5-4-Avance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_heading=h.35nkun2 \h </w:instrText>
          </w:r>
          <w:r>
            <w:fldChar w:fldCharType="separate"/>
          </w:r>
          <w:r>
            <w:rPr>
              <w:color w:val="000000"/>
            </w:rPr>
            <w:t>5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200"/>
            <w:rPr>
              <w:color w:val="000000"/>
            </w:rPr>
          </w:pPr>
          <w:hyperlink w:anchor="_heading=h.1ksv4uv">
            <w:r>
              <w:rPr>
                <w:color w:val="000000"/>
              </w:rPr>
              <w:t>Article  6 - Conditions d'exécution des prestations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_heading=h.1ksv4uv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44sinio">
            <w:r>
              <w:rPr>
                <w:color w:val="000000"/>
              </w:rPr>
              <w:t>6-1-Lieu d'exécution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_heading=h.44sinio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2jxsxqh">
            <w:r>
              <w:rPr>
                <w:color w:val="000000"/>
              </w:rPr>
              <w:t>6-2-Conditions de réalisation de l'étude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_heading=h.2jxsxqh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z337ya">
            <w:r>
              <w:rPr>
                <w:color w:val="000000"/>
              </w:rPr>
              <w:t>6-3-Droits d’exploitation sur les résultats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_heading=h.z337ya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3j2qqm3">
            <w:r>
              <w:rPr>
                <w:color w:val="000000"/>
              </w:rPr>
              <w:t>6-5-Arrêt de l'exécution des interventions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_heading=h.3j2qqm3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60"/>
            <w:ind w:left="360"/>
            <w:rPr>
              <w:color w:val="000000"/>
            </w:rPr>
          </w:pPr>
          <w:hyperlink w:anchor="_heading=h.1y810tw">
            <w:r>
              <w:rPr>
                <w:color w:val="000000"/>
              </w:rPr>
              <w:t>6-6-Clauses techniques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_heading=h.1y810tw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200"/>
            <w:rPr>
              <w:color w:val="000000"/>
            </w:rPr>
          </w:pPr>
          <w:hyperlink w:anchor="_heading=h.4i7ojhp">
            <w:r>
              <w:rPr>
                <w:color w:val="000000"/>
              </w:rPr>
              <w:t>Article 7 - Constatation de l'exécution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_heading=h.4i7ojhp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200"/>
            <w:rPr>
              <w:color w:val="000000"/>
            </w:rPr>
          </w:pPr>
          <w:hyperlink w:anchor="_heading=h.2xcytpi">
            <w:r>
              <w:rPr>
                <w:color w:val="000000"/>
              </w:rPr>
              <w:t>Article 8 - Dispositions diverses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_heading=h.2xcytpi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200"/>
            <w:rPr>
              <w:color w:val="000000"/>
            </w:rPr>
          </w:pPr>
          <w:hyperlink w:anchor="_heading=h.1ci93xb">
            <w:r>
              <w:rPr>
                <w:color w:val="000000"/>
              </w:rPr>
              <w:t>Article 9 - Résiliation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_heading=h.1ci93xb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</w:p>
        <w:p w:rsidR="00A743C9" w:rsidRDefault="00000000">
          <w:pPr>
            <w:tabs>
              <w:tab w:val="right" w:pos="9071"/>
            </w:tabs>
            <w:spacing w:before="200" w:after="80"/>
            <w:rPr>
              <w:color w:val="000000"/>
            </w:rPr>
          </w:pPr>
          <w:hyperlink w:anchor="_heading=h.3whwml4">
            <w:r>
              <w:rPr>
                <w:color w:val="000000"/>
              </w:rPr>
              <w:t>Article 10 - Litiges et différends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_heading=h.3whwml4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  <w:r>
            <w:fldChar w:fldCharType="end"/>
          </w:r>
        </w:p>
      </w:sdtContent>
    </w:sdt>
    <w:p w:rsidR="00A743C9" w:rsidRDefault="00A743C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743C9" w:rsidRDefault="00A743C9">
      <w:pPr>
        <w:widowControl/>
        <w:sectPr w:rsidR="00A743C9">
          <w:headerReference w:type="default" r:id="rId8"/>
          <w:footerReference w:type="default" r:id="rId9"/>
          <w:pgSz w:w="11906" w:h="16838"/>
          <w:pgMar w:top="1417" w:right="1417" w:bottom="1417" w:left="1417" w:header="709" w:footer="709" w:gutter="0"/>
          <w:pgNumType w:start="1"/>
          <w:cols w:space="720"/>
        </w:sectPr>
      </w:pPr>
    </w:p>
    <w:p w:rsidR="00A743C9" w:rsidRDefault="00A743C9">
      <w:pPr>
        <w:widowControl/>
        <w:rPr>
          <w:rFonts w:ascii="Times New Roman" w:eastAsia="Times New Roman" w:hAnsi="Times New Roman" w:cs="Times New Roman"/>
        </w:rPr>
      </w:pPr>
    </w:p>
    <w:p w:rsidR="00A743C9" w:rsidRDefault="00000000">
      <w:pPr>
        <w:pStyle w:val="Titre1"/>
      </w:pPr>
      <w:bookmarkStart w:id="0" w:name="_heading=h.gjdgxs" w:colFirst="0" w:colLast="0"/>
      <w:bookmarkEnd w:id="0"/>
      <w:r>
        <w:t>Article 1 - Objet du marché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Les stipulations du présent Cahier des Clauses Administratives Particulières concernent les prestations suivantes : </w:t>
      </w:r>
      <w:r>
        <w:t>Mesures automatisées de la qualité de l’eau en amont de l’estuaire de la Seine</w:t>
      </w:r>
    </w:p>
    <w:p w:rsidR="00A743C9" w:rsidRDefault="00000000">
      <w:pPr>
        <w:pStyle w:val="Titre1"/>
      </w:pPr>
      <w:bookmarkStart w:id="1" w:name="_heading=h.30j0zll" w:colFirst="0" w:colLast="0"/>
      <w:bookmarkEnd w:id="1"/>
      <w:r>
        <w:t>Article 2 - Décomposition du marché</w:t>
      </w:r>
    </w:p>
    <w:p w:rsidR="00A743C9" w:rsidRDefault="00000000">
      <w:pPr>
        <w:pStyle w:val="Titre2"/>
      </w:pPr>
      <w:bookmarkStart w:id="2" w:name="_heading=h.1fob9te" w:colFirst="0" w:colLast="0"/>
      <w:bookmarkEnd w:id="2"/>
      <w:r>
        <w:t>2-1-Allotissement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Les prestations font l'objet d'un lot unique.</w:t>
      </w:r>
    </w:p>
    <w:p w:rsidR="00A743C9" w:rsidRDefault="00000000">
      <w:pPr>
        <w:pStyle w:val="Titre2"/>
      </w:pPr>
      <w:bookmarkStart w:id="3" w:name="_heading=h.3znysh7" w:colFirst="0" w:colLast="0"/>
      <w:bookmarkEnd w:id="3"/>
      <w:r>
        <w:t>2-2-Forme du marché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Les prestations font l'objet </w:t>
      </w:r>
      <w:r>
        <w:rPr>
          <w:b/>
          <w:color w:val="000000"/>
        </w:rPr>
        <w:t>d’une tranche ferme</w:t>
      </w:r>
      <w:r>
        <w:rPr>
          <w:color w:val="000000"/>
        </w:rPr>
        <w:t>.</w:t>
      </w:r>
    </w:p>
    <w:p w:rsidR="00A743C9" w:rsidRDefault="00A743C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743C9" w:rsidRDefault="00000000">
      <w:pPr>
        <w:widowControl/>
        <w:spacing w:before="60" w:after="60"/>
        <w:ind w:hanging="2"/>
        <w:jc w:val="both"/>
      </w:pPr>
      <w:r>
        <w:t xml:space="preserve">Le marché est organisé en 3 tâches distinctes faisant l’objet de rendus spécifiques : </w:t>
      </w:r>
    </w:p>
    <w:p w:rsidR="00A743C9" w:rsidRDefault="00000000">
      <w:pPr>
        <w:widowControl/>
        <w:numPr>
          <w:ilvl w:val="0"/>
          <w:numId w:val="1"/>
        </w:numPr>
        <w:spacing w:before="60" w:after="60"/>
        <w:ind w:hanging="2"/>
        <w:jc w:val="both"/>
        <w:rPr>
          <w:sz w:val="24"/>
          <w:szCs w:val="24"/>
        </w:rPr>
      </w:pPr>
      <w:r>
        <w:t xml:space="preserve">Tâche 1 : Dimensionnement de l’installation, obtention des autorisations </w:t>
      </w:r>
    </w:p>
    <w:p w:rsidR="00A743C9" w:rsidRDefault="00000000">
      <w:pPr>
        <w:widowControl/>
        <w:numPr>
          <w:ilvl w:val="0"/>
          <w:numId w:val="1"/>
        </w:numPr>
        <w:spacing w:before="60" w:after="60"/>
        <w:ind w:hanging="2"/>
        <w:jc w:val="both"/>
        <w:rPr>
          <w:sz w:val="24"/>
          <w:szCs w:val="24"/>
        </w:rPr>
      </w:pPr>
      <w:r>
        <w:t>Tâche 2 : Construction et installation de la station</w:t>
      </w:r>
    </w:p>
    <w:p w:rsidR="00A743C9" w:rsidRDefault="00000000">
      <w:pPr>
        <w:widowControl/>
        <w:numPr>
          <w:ilvl w:val="0"/>
          <w:numId w:val="1"/>
        </w:numPr>
        <w:spacing w:before="60" w:after="60"/>
        <w:ind w:hanging="2"/>
        <w:jc w:val="both"/>
        <w:rPr>
          <w:sz w:val="24"/>
          <w:szCs w:val="24"/>
        </w:rPr>
      </w:pPr>
      <w:r>
        <w:t>Tâche 3 : Maintien en condition de fonctionnement sur site</w:t>
      </w:r>
    </w:p>
    <w:p w:rsidR="00A743C9" w:rsidRDefault="00000000">
      <w:pPr>
        <w:pStyle w:val="Titre1"/>
      </w:pPr>
      <w:bookmarkStart w:id="4" w:name="_heading=h.2et92p0" w:colFirst="0" w:colLast="0"/>
      <w:bookmarkEnd w:id="4"/>
      <w:r>
        <w:t xml:space="preserve">Article 3 - Généralités </w:t>
      </w:r>
    </w:p>
    <w:p w:rsidR="00A743C9" w:rsidRDefault="00000000">
      <w:pPr>
        <w:pStyle w:val="Titre2"/>
      </w:pPr>
      <w:bookmarkStart w:id="5" w:name="_heading=h.tyjcwt" w:colFirst="0" w:colLast="0"/>
      <w:bookmarkEnd w:id="5"/>
      <w:r>
        <w:t>3-1-Pièces contractuelles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 marché est constitué par les documents énumérés ci-dessous, par ordre de priorité décroissante :</w:t>
      </w:r>
    </w:p>
    <w:p w:rsidR="00A743C9" w:rsidRDefault="00000000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l'Acte d'Engagement ;</w:t>
      </w:r>
    </w:p>
    <w:p w:rsidR="00A743C9" w:rsidRDefault="00000000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 présent Cahier des Clauses Administratives Particulières (CCAP) dont l'exemplaire conservé par le pouvoir adjudicateur fait seul foi ;</w:t>
      </w:r>
    </w:p>
    <w:p w:rsidR="00A743C9" w:rsidRDefault="00000000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 Cahier des Clauses Techniques Particulières (CCTP) ;</w:t>
      </w:r>
    </w:p>
    <w:p w:rsidR="00A743C9" w:rsidRDefault="00000000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le Cahier des Clauses Administratives Générales (CCAG) des marchés publics de prestations intellectuelles (approuvé par l'arrêté du </w:t>
      </w:r>
      <w:r>
        <w:t>30 mars 2021</w:t>
      </w:r>
      <w:r>
        <w:rPr>
          <w:color w:val="000000"/>
        </w:rPr>
        <w:t>) ;</w:t>
      </w:r>
    </w:p>
    <w:p w:rsidR="00A743C9" w:rsidRDefault="00000000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les actes spéciaux de sous-traitance et leurs avenants, postérieurs à la notification du marché ;</w:t>
      </w:r>
    </w:p>
    <w:p w:rsidR="00A743C9" w:rsidRDefault="00000000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l’offre du titulaire.</w:t>
      </w:r>
    </w:p>
    <w:p w:rsidR="00A743C9" w:rsidRDefault="00000000">
      <w:pPr>
        <w:pStyle w:val="Titre2"/>
      </w:pPr>
      <w:bookmarkStart w:id="6" w:name="_heading=h.3dy6vkm" w:colFirst="0" w:colLast="0"/>
      <w:bookmarkEnd w:id="6"/>
      <w:r>
        <w:t>3-2-Sous-traitance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Le titulaire est habilité à sous-traiter l'exécution de certaines parties du marché, provoquant obligatoirement le paiement direct de celui-ci pour des prestations supérieures à 600 € TTC. </w:t>
      </w:r>
    </w:p>
    <w:p w:rsidR="00A743C9" w:rsidRDefault="00A743C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L'entreprise sous-traitante devra obligatoirement être acceptée et ses conditions de paiement agréées par le pouvoir adjudicateur.</w:t>
      </w:r>
    </w:p>
    <w:p w:rsidR="00A743C9" w:rsidRDefault="00A743C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L'acceptation de l'agrément d'un sous-traitant ainsi que les conditions de paiement correspondantes sont possibles en cours de marché selon les modalités définies aux articles R2193-3 et R2193-4 du code de la commande publique et à l'article 3.6 du CCAG PI.</w:t>
      </w:r>
    </w:p>
    <w:p w:rsidR="00A743C9" w:rsidRDefault="00A743C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Pour chaque sous-traitant présenté pendant l'exécution du marché, le titulaire devra joindre, en sus du projet d'acte spécial ou de l'avenant :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une déclaration du sous-traitant concerné indiquant qu'il ne tombe pas sous le coup de l'interdiction découlant de l'article R2143-6 et suivants du code de la commande publique ;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une attestation sur l'honneur du sous-traitant indiquant qu'il n'a pas fait l'objet au cours des cinq dernières années, d'une condamnation inscrite au bulletin N°2 du casier judiciaire pour les infractions visées aux articles L.8221-1, L.8221-3, L.8221-5, L.8251-1, L.8231-1 et L.8241-1 du code du travail.</w:t>
      </w:r>
    </w:p>
    <w:p w:rsidR="00A743C9" w:rsidRDefault="00A743C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lastRenderedPageBreak/>
        <w:t>Toute sous-traitance occulte pourra être sanctionnée par la résiliation du marché aux frais et risques de l'entreprise titulaire du marché (article 32.1 du CCAG PI).</w:t>
      </w:r>
    </w:p>
    <w:p w:rsidR="00A743C9" w:rsidRDefault="00000000">
      <w:pPr>
        <w:pStyle w:val="Titre1"/>
      </w:pPr>
      <w:bookmarkStart w:id="7" w:name="_heading=h.1t3h5sf" w:colFirst="0" w:colLast="0"/>
      <w:bookmarkEnd w:id="7"/>
      <w:r>
        <w:t>Article 4 - Durée du contrat - Délai d'exécution des prestations</w:t>
      </w:r>
    </w:p>
    <w:p w:rsidR="00A743C9" w:rsidRDefault="00000000">
      <w:pPr>
        <w:pStyle w:val="Titre2"/>
      </w:pPr>
      <w:bookmarkStart w:id="8" w:name="_heading=h.4d34og8" w:colFirst="0" w:colLast="0"/>
      <w:bookmarkEnd w:id="8"/>
      <w:r>
        <w:t>4-1-Durée du contrat - Délai d'exécution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La durée globale du marché est fixée à </w:t>
      </w:r>
      <w:r>
        <w:t>33</w:t>
      </w:r>
      <w:r>
        <w:rPr>
          <w:color w:val="000000"/>
        </w:rPr>
        <w:t xml:space="preserve"> mois.</w:t>
      </w:r>
    </w:p>
    <w:p w:rsidR="00A743C9" w:rsidRDefault="00000000">
      <w:pPr>
        <w:pStyle w:val="Titre2"/>
      </w:pPr>
      <w:bookmarkStart w:id="9" w:name="_heading=h.2s8eyo1" w:colFirst="0" w:colLast="0"/>
      <w:bookmarkEnd w:id="9"/>
      <w:r>
        <w:t>4-2-Pénalités de retard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Lorsque le délai contractuel est dépassé, le titulaire encourt des pénalités de retard, selon les modalités prévues à l'article 14 du CCAG PI.</w:t>
      </w:r>
    </w:p>
    <w:p w:rsidR="00A743C9" w:rsidRDefault="00000000">
      <w:pPr>
        <w:pStyle w:val="Titre1"/>
      </w:pPr>
      <w:bookmarkStart w:id="10" w:name="_heading=h.17dp8vu" w:colFirst="0" w:colLast="0"/>
      <w:bookmarkEnd w:id="10"/>
      <w:r>
        <w:t>Article 5 - Prix et règlement</w:t>
      </w:r>
    </w:p>
    <w:p w:rsidR="00A743C9" w:rsidRDefault="00000000">
      <w:pPr>
        <w:pStyle w:val="Titre2"/>
      </w:pPr>
      <w:bookmarkStart w:id="11" w:name="_heading=h.3rdcrjn" w:colFirst="0" w:colLast="0"/>
      <w:bookmarkEnd w:id="11"/>
      <w:r>
        <w:t>5-1-Contenu des prix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Pour les prestations désignées ci-après, les prix du marché</w:t>
      </w:r>
      <w:r>
        <w:rPr>
          <w:color w:val="0000FF"/>
        </w:rPr>
        <w:t xml:space="preserve"> </w:t>
      </w:r>
      <w:r>
        <w:rPr>
          <w:color w:val="000000"/>
        </w:rPr>
        <w:t>sont traités à prix forfaitaires, sur la base de la décomposition du prix global et forfaitaire.</w:t>
      </w:r>
    </w:p>
    <w:p w:rsidR="00A743C9" w:rsidRDefault="00000000">
      <w:pPr>
        <w:pStyle w:val="Titre2"/>
      </w:pPr>
      <w:bookmarkStart w:id="12" w:name="_heading=h.26in1rg" w:colFirst="0" w:colLast="0"/>
      <w:bookmarkEnd w:id="12"/>
      <w:r>
        <w:t>5-2-Variation des prix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Les prix du marché ne sont pas révisables.</w:t>
      </w:r>
    </w:p>
    <w:p w:rsidR="00A743C9" w:rsidRDefault="00000000">
      <w:pPr>
        <w:pStyle w:val="Titre2"/>
      </w:pPr>
      <w:bookmarkStart w:id="13" w:name="_heading=h.lnxbz9" w:colFirst="0" w:colLast="0"/>
      <w:bookmarkEnd w:id="13"/>
      <w:r>
        <w:t>5-3-Modalités de règlement</w:t>
      </w:r>
    </w:p>
    <w:p w:rsidR="00A743C9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b/>
          <w:color w:val="000000"/>
        </w:rPr>
      </w:pPr>
      <w:r>
        <w:rPr>
          <w:b/>
          <w:color w:val="000000"/>
        </w:rPr>
        <w:t>5-3-1-Régime des paiements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Les prestations font l'objet de paiements d'acomptes, paiements partiels non définitifs, après constatation du service fait</w:t>
      </w:r>
      <w:r>
        <w:rPr>
          <w:color w:val="0000FF"/>
        </w:rPr>
        <w:t xml:space="preserve"> </w:t>
      </w:r>
      <w:r>
        <w:rPr>
          <w:color w:val="000000"/>
        </w:rPr>
        <w:t xml:space="preserve">dans les conditions prévues par les articles R2191-20 à R2191-22 du code de la commande publique. Le caractère définitif des paiements interviendra au moment du solde du marché. Des acomptes pourront être demandés, après livraison des produits correspondant aux tâches 1 et 2. </w:t>
      </w:r>
      <w:r>
        <w:t>Pendant la tâche 3, des acomptes pourront être demandés en lien avec les livraisons,</w:t>
      </w:r>
      <w:r>
        <w:rPr>
          <w:color w:val="000000"/>
        </w:rPr>
        <w:t xml:space="preserve"> jusqu’à un maximum de 80% du montant total du marché</w:t>
      </w:r>
      <w:r>
        <w:t>.</w:t>
      </w:r>
      <w:r>
        <w:rPr>
          <w:color w:val="000000"/>
        </w:rPr>
        <w:t xml:space="preserve"> Le solde interviendra une fois le rapport de tâche 3 livré</w:t>
      </w:r>
      <w:r>
        <w:t xml:space="preserve"> </w:t>
      </w:r>
      <w:r>
        <w:rPr>
          <w:color w:val="000000"/>
        </w:rPr>
        <w:t xml:space="preserve">et après </w:t>
      </w:r>
      <w:r>
        <w:t>constatation du service fait</w:t>
      </w:r>
      <w:r>
        <w:rPr>
          <w:color w:val="000000"/>
        </w:rPr>
        <w:t>.</w:t>
      </w:r>
    </w:p>
    <w:p w:rsidR="00A743C9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b/>
          <w:color w:val="000000"/>
        </w:rPr>
      </w:pPr>
      <w:r>
        <w:rPr>
          <w:b/>
          <w:color w:val="000000"/>
        </w:rPr>
        <w:t>5-3-2-TVA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Sont applicables les taux de TVA en vigueur lors du fait générateur de la taxe au sens de l'article 269 du code général des impôts.</w:t>
      </w:r>
    </w:p>
    <w:p w:rsidR="00A743C9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b/>
          <w:color w:val="000000"/>
        </w:rPr>
      </w:pPr>
      <w:r>
        <w:rPr>
          <w:b/>
          <w:color w:val="000000"/>
        </w:rPr>
        <w:t>5-3-3-Présentation des demandes de paiement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Lorsque le titulaire remet au pouvoir adjudicateur une demande de paiement, il y joint les pièces nécessaires à la justification du paiement.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Les demandes de paiement sont datées et comportent, outre les mentions légales, les indications suivantes :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les nom, n° SIRET et adresse du créancier, la date d'émission et le numéro de la demande de paiement;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le numéro de compte bancaire tel qu'il est précisé à l'acte d'engagement ;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la référence du marché ;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les prestations exécutées ;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la date d'exécution des prestations ;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le montant HT des prestations exécutées ;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le taux et le montant de la TVA et les taxes parafiscales le cas échéant ;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le montant total des prestations ;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en cas de groupement conjoint, pour chaque opérateur économique, le montant des prestations effectuées par l'opérateur économique ;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en cas de sous-traitance, la nature des prestations exécutées par le sous-traitant, leur montant total HT, leur montant TTC ainsi que, le cas échéant, les variations de prix établies HT et TTC.</w:t>
      </w:r>
    </w:p>
    <w:p w:rsidR="00A743C9" w:rsidRDefault="00A743C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Conformément à la loi du 3 janvier 2014 relative à la simplification de la vie des entreprises et à l'ordonnance n°2014-697 du 26 juin 2014 relative au développement de la facturation électronique, la demande de paiement doit être envoyée par voie électronique sur le portail Chorus Pro à l'adresse suivante : </w:t>
      </w:r>
      <w:hyperlink r:id="rId10">
        <w:r>
          <w:rPr>
            <w:color w:val="0000FF"/>
            <w:u w:val="single"/>
          </w:rPr>
          <w:t>https://chorus-pro.gouv.fr</w:t>
        </w:r>
      </w:hyperlink>
      <w:r>
        <w:rPr>
          <w:color w:val="000000"/>
        </w:rPr>
        <w:t xml:space="preserve"> </w:t>
      </w:r>
    </w:p>
    <w:p w:rsidR="00A743C9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0000"/>
        </w:rPr>
      </w:pPr>
      <w:r>
        <w:rPr>
          <w:b/>
          <w:color w:val="000000"/>
        </w:rPr>
        <w:t>5-3-4-Répartition des paiements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L'acte d'engagement et les actes spéciaux éventuels indiquent ce qui doit être réglé respectivement :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 au titulaire et à ses sous-traitants ;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 au mandataire, ses cotraitants et leurs sous-traitants.</w:t>
      </w:r>
    </w:p>
    <w:p w:rsidR="00A743C9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0000"/>
        </w:rPr>
      </w:pPr>
      <w:r>
        <w:rPr>
          <w:b/>
          <w:color w:val="000000"/>
        </w:rPr>
        <w:t>5-3-5-Délais de paiement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 délai global de paiement ne pourra excéder 30 jours selon les dispositions de l'article R2192-10 du code de la commande publique.</w:t>
      </w:r>
    </w:p>
    <w:p w:rsidR="00A743C9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0000"/>
        </w:rPr>
      </w:pPr>
      <w:r>
        <w:rPr>
          <w:b/>
          <w:color w:val="000000"/>
        </w:rPr>
        <w:t>5-3-6-Intérêts moratoires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 défaut de paiement dans les délais prévus selon les dispositions de l'article R2192-10 du code de la commande publique fait courir de plein droit, et sans autre formalité, des intérêts moratoires au bénéfice du titulaire ou du sous-traitant payé directement.</w:t>
      </w:r>
    </w:p>
    <w:p w:rsidR="00A743C9" w:rsidRDefault="00A743C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Conformément à l'article R2192-31 du code de la commande publique, le taux des intérêts moratoires est égal au taux d'intérêt de la principale facilité de refinancement appliquée par la Banque centrale européenne à son opération de refinancement principal la plus récente effectuée avant le premier jour de calendrier du semestre de l'année civile au cours duquel les intérêts moratoires ont commencé à courir, majoré de 8 points.</w:t>
      </w:r>
    </w:p>
    <w:p w:rsidR="00A743C9" w:rsidRDefault="00000000">
      <w:pPr>
        <w:pStyle w:val="Titre2"/>
      </w:pPr>
      <w:bookmarkStart w:id="14" w:name="_heading=h.35nkun2" w:colFirst="0" w:colLast="0"/>
      <w:bookmarkEnd w:id="14"/>
      <w:r>
        <w:t>5-4-Avance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Sauf renoncement du titulaire porté à l'acte d'engagement, une avance est prévue dans les cas et selon les modalités stipulées ci-après. Son montant n'est ni révisable, ni actualisable.</w:t>
      </w:r>
    </w:p>
    <w:p w:rsidR="00A743C9" w:rsidRDefault="00A743C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Elle est versée pour chaque tranche dont le montant est supérieur à 50 000,00 € hors taxes et dont le délai d'exécution est supérieur à deux mois. </w:t>
      </w:r>
    </w:p>
    <w:p w:rsidR="00A743C9" w:rsidRDefault="00A743C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 délai de paiement de cette avance court à partir de la notification de l'acte qui emporte commencement de l'exécution de la tranche si un tel acte est prévu ou, à défaut, à partir de la date de notification ou d'affermissement de la tranche.</w:t>
      </w:r>
    </w:p>
    <w:p w:rsidR="00A743C9" w:rsidRDefault="00A743C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 montant de l'avance est déterminé par application des articles R2191-6 à R2191-10 du Code de la commande publique. Elle est égale à 5% du montant initial toutes taxes comprises de la tranche. Le remboursement de l’avance s’impute sur les sommes dues au titulaire dès la première demande de paiement.</w:t>
      </w:r>
    </w:p>
    <w:p w:rsidR="00A743C9" w:rsidRDefault="00A743C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3C9" w:rsidRDefault="00000000">
      <w:pPr>
        <w:widowControl/>
        <w:rPr>
          <w:rFonts w:ascii="Cambria" w:eastAsia="Cambria" w:hAnsi="Cambria" w:cs="Cambria"/>
          <w:b/>
          <w:sz w:val="32"/>
          <w:szCs w:val="32"/>
        </w:rPr>
      </w:pPr>
      <w:r>
        <w:br w:type="page"/>
      </w:r>
    </w:p>
    <w:p w:rsidR="00A743C9" w:rsidRDefault="00000000">
      <w:pPr>
        <w:pStyle w:val="Titre1"/>
      </w:pPr>
      <w:bookmarkStart w:id="15" w:name="_heading=h.1ksv4uv" w:colFirst="0" w:colLast="0"/>
      <w:bookmarkEnd w:id="15"/>
      <w:r>
        <w:lastRenderedPageBreak/>
        <w:t>Article  6 - Conditions d'exécution des prestations</w:t>
      </w:r>
    </w:p>
    <w:p w:rsidR="00A743C9" w:rsidRDefault="00000000">
      <w:pPr>
        <w:pStyle w:val="Titre2"/>
      </w:pPr>
      <w:bookmarkStart w:id="16" w:name="_heading=h.44sinio" w:colFirst="0" w:colLast="0"/>
      <w:bookmarkEnd w:id="16"/>
      <w:r>
        <w:t>6-1-Lieu d'exécution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Sans objet</w:t>
      </w:r>
    </w:p>
    <w:p w:rsidR="00A743C9" w:rsidRDefault="00000000">
      <w:pPr>
        <w:pStyle w:val="Titre2"/>
      </w:pPr>
      <w:bookmarkStart w:id="17" w:name="_heading=h.2jxsxqh" w:colFirst="0" w:colLast="0"/>
      <w:bookmarkEnd w:id="17"/>
      <w:r>
        <w:t>6-2-Conditions de réalisation de l'étude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Les conditions de réalisation de l’étude sont fixées par le CCTP.</w:t>
      </w:r>
    </w:p>
    <w:p w:rsidR="00A743C9" w:rsidRDefault="00000000">
      <w:pPr>
        <w:pStyle w:val="Titre2"/>
      </w:pPr>
      <w:bookmarkStart w:id="18" w:name="_heading=h.z337ya" w:colFirst="0" w:colLast="0"/>
      <w:bookmarkEnd w:id="18"/>
      <w:r>
        <w:t>6-3-Droits d’exploitation sur les résultats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Les droits d’exploitation des résultats sont cédés au pouvoir adjudicateur dans les conditions de l'article </w:t>
      </w:r>
      <w:r>
        <w:t>3</w:t>
      </w:r>
      <w:r>
        <w:rPr>
          <w:color w:val="000000"/>
        </w:rPr>
        <w:t>5 du CCAG PI.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Le prix de cette cession est forfaitairement compris dans le montant du marché. </w:t>
      </w:r>
    </w:p>
    <w:p w:rsidR="00A743C9" w:rsidRDefault="00000000">
      <w:pPr>
        <w:pStyle w:val="Titre2"/>
      </w:pPr>
      <w:bookmarkStart w:id="19" w:name="_heading=h.3j2qqm3" w:colFirst="0" w:colLast="0"/>
      <w:bookmarkEnd w:id="19"/>
      <w:r>
        <w:t>6-5-Arrêt de l'exécution des interventions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En application de l'article 2</w:t>
      </w:r>
      <w:r>
        <w:t>2</w:t>
      </w:r>
      <w:r>
        <w:rPr>
          <w:color w:val="000000"/>
        </w:rPr>
        <w:t xml:space="preserve"> du CCAG PI, le pouvoir adjudicateur se réserve la possibilité d'arrêter l'exécution des interventions qui font l'objet du présent marché à l'issue de chacune des phases techniques.</w:t>
      </w:r>
    </w:p>
    <w:p w:rsidR="00A743C9" w:rsidRDefault="00A743C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La décision d'arrêter l'exécution des prestations ne donne lieu à aucune indemnité et entraîne la résiliation du marché.</w:t>
      </w:r>
    </w:p>
    <w:p w:rsidR="00A743C9" w:rsidRDefault="00000000">
      <w:pPr>
        <w:pStyle w:val="Titre2"/>
      </w:pPr>
      <w:bookmarkStart w:id="20" w:name="_heading=h.1y810tw" w:colFirst="0" w:colLast="0"/>
      <w:bookmarkEnd w:id="20"/>
      <w:r>
        <w:t>6-6-Clauses techniques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Les clauses techniques sont fixées par le CCTP.</w:t>
      </w:r>
    </w:p>
    <w:p w:rsidR="00A743C9" w:rsidRDefault="00000000">
      <w:pPr>
        <w:pStyle w:val="Titre1"/>
      </w:pPr>
      <w:bookmarkStart w:id="21" w:name="_heading=h.4i7ojhp" w:colFirst="0" w:colLast="0"/>
      <w:bookmarkEnd w:id="21"/>
      <w:r>
        <w:t>Article 7 - Constatation de l'exécution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Les opérations de vérification quantitative et qualitative ont pour objet de permettre au pouvoir adjudicateur de contrôler notamment que le titulaire :</w:t>
      </w:r>
    </w:p>
    <w:p w:rsidR="00A743C9" w:rsidRDefault="00000000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 mis en œuvre les moyens définis dans le marché, conformément aux prescriptions qui y sont fixées ;</w:t>
      </w:r>
    </w:p>
    <w:p w:rsidR="00A743C9" w:rsidRDefault="00000000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 réalisé les prestations définies dans le marché comme étant à sa charge, conformément aux dispositions contractuelles.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Conformément à l'article 2</w:t>
      </w:r>
      <w:r>
        <w:t>8</w:t>
      </w:r>
      <w:r>
        <w:rPr>
          <w:color w:val="000000"/>
        </w:rPr>
        <w:t xml:space="preserve">.2 du CCAG PI, le pouvoir adjudicateur dispose d'un délai de deux mois pour procéder aux vérifications et notifier sa décision de réception, d'ajournement, de réception avec réfaction ou de rejet. </w:t>
      </w:r>
    </w:p>
    <w:p w:rsidR="00A743C9" w:rsidRDefault="00000000">
      <w:pPr>
        <w:pStyle w:val="Titre1"/>
      </w:pPr>
      <w:bookmarkStart w:id="22" w:name="_heading=h.2xcytpi" w:colFirst="0" w:colLast="0"/>
      <w:bookmarkEnd w:id="22"/>
      <w:r>
        <w:t>Article 8 - Dispositions diverses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Les demandes de réunions diverses, les comptes-rendus de réunions, les documents provisoires, les demandes de renseignements pourront être envoyées par courrier électronique aux adresses électroniques qui seront fournies lors de la réunion de démarrage.</w:t>
      </w:r>
    </w:p>
    <w:p w:rsidR="00A743C9" w:rsidRDefault="00A743C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Tous les autres courriers (OS, courriers de notification, documents contractuels, etc.) seront envoyés par courrier recommandé.</w:t>
      </w:r>
    </w:p>
    <w:p w:rsidR="00A743C9" w:rsidRDefault="00000000">
      <w:pPr>
        <w:pStyle w:val="Titre1"/>
      </w:pPr>
      <w:bookmarkStart w:id="23" w:name="_heading=h.1ci93xb" w:colFirst="0" w:colLast="0"/>
      <w:bookmarkEnd w:id="23"/>
      <w:r>
        <w:t>Article 9 - Résiliation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Le pouvoir adjudicateur peut résilier le marché, aux torts du cocontractant en cas d'inexactitude des renseignements prévus à l'article R2143-6 et suivants du </w:t>
      </w:r>
      <w:r>
        <w:t>c</w:t>
      </w:r>
      <w:r>
        <w:rPr>
          <w:color w:val="000000"/>
        </w:rPr>
        <w:t xml:space="preserve">ode de la commande publique et selon les dispositions des articles </w:t>
      </w:r>
      <w:r>
        <w:t>36</w:t>
      </w:r>
      <w:r>
        <w:rPr>
          <w:color w:val="000000"/>
        </w:rPr>
        <w:t xml:space="preserve"> à </w:t>
      </w:r>
      <w:r>
        <w:t>42</w:t>
      </w:r>
      <w:r>
        <w:rPr>
          <w:color w:val="000000"/>
        </w:rPr>
        <w:t xml:space="preserve"> du CCAG PI.</w:t>
      </w:r>
    </w:p>
    <w:p w:rsidR="00A743C9" w:rsidRDefault="00000000">
      <w:pPr>
        <w:pStyle w:val="Titre1"/>
      </w:pPr>
      <w:bookmarkStart w:id="24" w:name="_heading=h.3whwml4" w:colFirst="0" w:colLast="0"/>
      <w:bookmarkEnd w:id="24"/>
      <w:r>
        <w:t>Article 10 - Litiges et différends</w:t>
      </w:r>
    </w:p>
    <w:p w:rsidR="00A743C9" w:rsidRDefault="0000000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Les différends et litiges se règlent selon les dispositions de l'article </w:t>
      </w:r>
      <w:r>
        <w:t>43</w:t>
      </w:r>
      <w:r>
        <w:rPr>
          <w:color w:val="000000"/>
        </w:rPr>
        <w:t xml:space="preserve"> du CCAG PI. En cas de litige résultant de l'application des clauses du présent CCAP, le tribunal compétent est le tribunal administratif dont relève le pouvoir adjudicateur.</w:t>
      </w:r>
    </w:p>
    <w:sectPr w:rsidR="00A743C9">
      <w:headerReference w:type="default" r:id="rId11"/>
      <w:footerReference w:type="default" r:id="rId12"/>
      <w:pgSz w:w="11906" w:h="16838"/>
      <w:pgMar w:top="1134" w:right="1417" w:bottom="993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00E8" w:rsidRDefault="000600E8">
      <w:r>
        <w:separator/>
      </w:r>
    </w:p>
  </w:endnote>
  <w:endnote w:type="continuationSeparator" w:id="0">
    <w:p w:rsidR="000600E8" w:rsidRDefault="0006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3C9" w:rsidRDefault="00A743C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center" w:pos="4536"/>
        <w:tab w:val="right" w:pos="9072"/>
      </w:tabs>
      <w:jc w:val="both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3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color w:val="808080"/>
      </w:rPr>
    </w:pPr>
    <w:r>
      <w:rPr>
        <w:color w:val="808080"/>
      </w:rPr>
      <w:fldChar w:fldCharType="begin"/>
    </w:r>
    <w:r>
      <w:rPr>
        <w:color w:val="808080"/>
      </w:rPr>
      <w:instrText>PAGE</w:instrText>
    </w:r>
    <w:r>
      <w:rPr>
        <w:color w:val="808080"/>
      </w:rPr>
      <w:fldChar w:fldCharType="separate"/>
    </w:r>
    <w:r w:rsidR="000851D1">
      <w:rPr>
        <w:noProof/>
        <w:color w:val="808080"/>
      </w:rPr>
      <w:t>3</w:t>
    </w:r>
    <w:r>
      <w:rPr>
        <w:color w:val="808080"/>
      </w:rPr>
      <w:fldChar w:fldCharType="end"/>
    </w:r>
  </w:p>
  <w:p w:rsidR="00A743C9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center" w:pos="4536"/>
        <w:tab w:val="right" w:pos="9072"/>
      </w:tabs>
      <w:jc w:val="both"/>
      <w:rPr>
        <w:color w:val="808080"/>
        <w:sz w:val="16"/>
        <w:szCs w:val="16"/>
      </w:rPr>
    </w:pPr>
    <w:r>
      <w:rPr>
        <w:color w:val="808080"/>
        <w:sz w:val="16"/>
        <w:szCs w:val="16"/>
      </w:rPr>
      <w:t>GIP Seine-Aval</w:t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>20/01/2023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00E8" w:rsidRDefault="000600E8">
      <w:r>
        <w:separator/>
      </w:r>
    </w:p>
  </w:footnote>
  <w:footnote w:type="continuationSeparator" w:id="0">
    <w:p w:rsidR="000600E8" w:rsidRDefault="0006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3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-436879</wp:posOffset>
          </wp:positionV>
          <wp:extent cx="7583805" cy="1072959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3805" cy="1072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43C9" w:rsidRDefault="00A743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3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Cahier des clauses administratives particulières</w:t>
    </w:r>
  </w:p>
  <w:p w:rsidR="00A743C9" w:rsidRDefault="00000000">
    <w:pPr>
      <w:widowControl/>
      <w:spacing w:before="60" w:after="300"/>
      <w:ind w:left="2" w:hanging="4"/>
      <w:jc w:val="center"/>
      <w:rPr>
        <w:color w:val="000000"/>
      </w:rPr>
    </w:pPr>
    <w:r>
      <w:rPr>
        <w:color w:val="A6A6A6"/>
        <w:sz w:val="18"/>
        <w:szCs w:val="18"/>
      </w:rPr>
      <w:t>Mesures automatisées de la qualité de l’eau en amont de l’estuaire de la Seine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EFA"/>
    <w:multiLevelType w:val="multilevel"/>
    <w:tmpl w:val="FD1A67A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3933E4"/>
    <w:multiLevelType w:val="multilevel"/>
    <w:tmpl w:val="012A20D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3F0823"/>
    <w:multiLevelType w:val="multilevel"/>
    <w:tmpl w:val="D0A28D8E"/>
    <w:lvl w:ilvl="0">
      <w:start w:val="1"/>
      <w:numFmt w:val="bullet"/>
      <w:lvlText w:val="●"/>
      <w:lvlJc w:val="left"/>
      <w:pPr>
        <w:ind w:left="763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3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923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3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83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3" w:hanging="360"/>
      </w:pPr>
      <w:rPr>
        <w:rFonts w:ascii="Noto Sans" w:eastAsia="Noto Sans" w:hAnsi="Noto Sans" w:cs="Noto Sans"/>
        <w:vertAlign w:val="baseline"/>
      </w:rPr>
    </w:lvl>
  </w:abstractNum>
  <w:abstractNum w:abstractNumId="3" w15:restartNumberingAfterBreak="0">
    <w:nsid w:val="63EB0274"/>
    <w:multiLevelType w:val="multilevel"/>
    <w:tmpl w:val="97202C7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717379">
    <w:abstractNumId w:val="2"/>
  </w:num>
  <w:num w:numId="2" w16cid:durableId="2041280245">
    <w:abstractNumId w:val="1"/>
  </w:num>
  <w:num w:numId="3" w16cid:durableId="765541873">
    <w:abstractNumId w:val="0"/>
  </w:num>
  <w:num w:numId="4" w16cid:durableId="900867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C9"/>
    <w:rsid w:val="000600E8"/>
    <w:rsid w:val="000851D1"/>
    <w:rsid w:val="00A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14809-20CC-439C-A88D-F8EC5144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Titre1">
    <w:name w:val="heading 1"/>
    <w:basedOn w:val="Normal"/>
    <w:next w:val="Normal"/>
    <w:link w:val="Titre1Car"/>
    <w:uiPriority w:val="9"/>
    <w:qFormat/>
    <w:rsid w:val="0046072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072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072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F1C9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RedTitre">
    <w:name w:val="RedTitre"/>
    <w:basedOn w:val="Normal"/>
    <w:uiPriority w:val="99"/>
    <w:pPr>
      <w:framePr w:hSpace="142" w:wrap="auto" w:vAnchor="text" w:hAnchor="text" w:xAlign="center" w:y="1"/>
      <w:jc w:val="center"/>
    </w:pPr>
    <w:rPr>
      <w:b/>
      <w:bCs/>
      <w:sz w:val="22"/>
      <w:szCs w:val="22"/>
    </w:rPr>
  </w:style>
  <w:style w:type="paragraph" w:customStyle="1" w:styleId="RedNomDoc">
    <w:name w:val="RedNomDoc"/>
    <w:basedOn w:val="Normal"/>
    <w:uiPriority w:val="99"/>
    <w:pPr>
      <w:jc w:val="center"/>
    </w:pPr>
    <w:rPr>
      <w:b/>
      <w:bCs/>
      <w:sz w:val="30"/>
      <w:szCs w:val="30"/>
    </w:rPr>
  </w:style>
  <w:style w:type="paragraph" w:customStyle="1" w:styleId="RedTitre1">
    <w:name w:val="RedTitre1"/>
    <w:basedOn w:val="Normal"/>
    <w:uiPriority w:val="99"/>
    <w:pPr>
      <w:framePr w:hSpace="142" w:wrap="auto" w:vAnchor="text" w:hAnchor="text" w:xAlign="center" w:y="1"/>
      <w:jc w:val="center"/>
    </w:pPr>
    <w:rPr>
      <w:b/>
      <w:bCs/>
      <w:sz w:val="22"/>
      <w:szCs w:val="22"/>
    </w:rPr>
  </w:style>
  <w:style w:type="paragraph" w:customStyle="1" w:styleId="RedTitre2">
    <w:name w:val="RedTitre2"/>
    <w:basedOn w:val="Normal"/>
    <w:uiPriority w:val="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60"/>
    </w:pPr>
    <w:rPr>
      <w:b/>
      <w:bCs/>
      <w:sz w:val="24"/>
      <w:szCs w:val="24"/>
    </w:rPr>
  </w:style>
  <w:style w:type="paragraph" w:customStyle="1" w:styleId="RedLiRub">
    <w:name w:val="RedLiRub"/>
    <w:basedOn w:val="Normal"/>
    <w:uiPriority w:val="99"/>
    <w:rPr>
      <w:sz w:val="22"/>
      <w:szCs w:val="22"/>
    </w:rPr>
  </w:style>
  <w:style w:type="paragraph" w:customStyle="1" w:styleId="RedPara">
    <w:name w:val="RedPara"/>
    <w:basedOn w:val="Normal"/>
    <w:uiPriority w:val="99"/>
    <w:pPr>
      <w:keepNext/>
      <w:spacing w:before="120" w:after="60"/>
    </w:pPr>
    <w:rPr>
      <w:b/>
      <w:bCs/>
      <w:sz w:val="22"/>
      <w:szCs w:val="22"/>
    </w:rPr>
  </w:style>
  <w:style w:type="paragraph" w:customStyle="1" w:styleId="RedRub">
    <w:name w:val="RedRub"/>
    <w:basedOn w:val="Normal"/>
    <w:uiPriority w:val="99"/>
    <w:pPr>
      <w:keepNext/>
      <w:spacing w:before="60" w:after="60"/>
    </w:pPr>
    <w:rPr>
      <w:b/>
      <w:bCs/>
      <w:sz w:val="22"/>
      <w:szCs w:val="22"/>
    </w:rPr>
  </w:style>
  <w:style w:type="paragraph" w:customStyle="1" w:styleId="RedTxt">
    <w:name w:val="RedTxt"/>
    <w:basedOn w:val="Normal"/>
    <w:uiPriority w:val="99"/>
    <w:pPr>
      <w:keepLines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Arial" w:hAnsi="Arial" w:cs="Arial"/>
      <w:sz w:val="20"/>
      <w:szCs w:val="20"/>
    </w:rPr>
  </w:style>
  <w:style w:type="character" w:styleId="Numrodepage">
    <w:name w:val="page number"/>
    <w:basedOn w:val="Policepardfaut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5A13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A13BB"/>
    <w:rPr>
      <w:rFonts w:ascii="Segoe UI" w:hAnsi="Segoe UI" w:cs="Segoe UI"/>
      <w:sz w:val="18"/>
      <w:szCs w:val="18"/>
    </w:rPr>
  </w:style>
  <w:style w:type="paragraph" w:customStyle="1" w:styleId="StyleTitre">
    <w:name w:val="Style Titre"/>
    <w:basedOn w:val="Titre"/>
    <w:rsid w:val="007F1C94"/>
    <w:pPr>
      <w:widowControl/>
      <w:autoSpaceDE/>
      <w:autoSpaceDN/>
      <w:adjustRightInd/>
      <w:spacing w:before="60" w:after="300"/>
      <w:contextualSpacing/>
      <w:outlineLvl w:val="9"/>
    </w:pPr>
    <w:rPr>
      <w:rFonts w:ascii="Calibri" w:hAnsi="Calibri"/>
      <w:bCs w:val="0"/>
      <w:color w:val="1F497D"/>
      <w:spacing w:val="5"/>
      <w:sz w:val="40"/>
      <w:szCs w:val="20"/>
      <w:lang w:eastAsia="en-US"/>
    </w:rPr>
  </w:style>
  <w:style w:type="character" w:customStyle="1" w:styleId="TitreCar">
    <w:name w:val="Titre Car"/>
    <w:link w:val="Titre"/>
    <w:uiPriority w:val="10"/>
    <w:rsid w:val="007F1C9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ienhypertexte">
    <w:name w:val="Hyperlink"/>
    <w:uiPriority w:val="99"/>
    <w:unhideWhenUsed/>
    <w:rsid w:val="00F12966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F12966"/>
    <w:rPr>
      <w:color w:val="605E5C"/>
      <w:shd w:val="clear" w:color="auto" w:fill="E1DFDD"/>
    </w:rPr>
  </w:style>
  <w:style w:type="character" w:customStyle="1" w:styleId="Titre1Car">
    <w:name w:val="Titre 1 Car"/>
    <w:link w:val="Titre1"/>
    <w:uiPriority w:val="9"/>
    <w:rsid w:val="004607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4607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60729"/>
    <w:pPr>
      <w:keepLines/>
      <w:widowControl/>
      <w:autoSpaceDE/>
      <w:autoSpaceDN/>
      <w:adjustRightInd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460729"/>
  </w:style>
  <w:style w:type="character" w:customStyle="1" w:styleId="Titre3Car">
    <w:name w:val="Titre 3 Car"/>
    <w:link w:val="Titre3"/>
    <w:uiPriority w:val="9"/>
    <w:rsid w:val="00460729"/>
    <w:rPr>
      <w:rFonts w:ascii="Cambria" w:eastAsia="Times New Roman" w:hAnsi="Cambria" w:cs="Times New Roman"/>
      <w:b/>
      <w:bCs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B673AF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B673AF"/>
    <w:pPr>
      <w:ind w:left="400"/>
    </w:pPr>
  </w:style>
  <w:style w:type="character" w:styleId="Marquedecommentaire">
    <w:name w:val="annotation reference"/>
    <w:uiPriority w:val="99"/>
    <w:semiHidden/>
    <w:unhideWhenUsed/>
    <w:rsid w:val="00042E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E1F"/>
  </w:style>
  <w:style w:type="character" w:customStyle="1" w:styleId="CommentaireCar">
    <w:name w:val="Commentaire Car"/>
    <w:link w:val="Commentaire"/>
    <w:uiPriority w:val="99"/>
    <w:semiHidden/>
    <w:rsid w:val="00042E1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E1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42E1F"/>
    <w:rPr>
      <w:rFonts w:ascii="Arial" w:hAnsi="Arial" w:cs="Arial"/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042E1F"/>
    <w:pPr>
      <w:widowControl/>
      <w:autoSpaceDE/>
      <w:autoSpaceDN/>
      <w:adjustRightInd/>
      <w:spacing w:before="60" w:after="180"/>
      <w:ind w:left="720"/>
      <w:contextualSpacing/>
      <w:jc w:val="both"/>
    </w:pPr>
    <w:rPr>
      <w:rFonts w:ascii="Calibri" w:eastAsia="Calibri" w:hAnsi="Calibri" w:cs="Times New Roman"/>
      <w:sz w:val="24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042E1F"/>
    <w:rPr>
      <w:rFonts w:eastAsia="Calibri"/>
      <w:sz w:val="24"/>
      <w:szCs w:val="22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chorus-pro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1FYtvokOLxamYiB6zQPKs5pyPw==">AMUW2mXeBv4fmpJSpk+TlVPaZM8BoJBtZygK20nX0WJCloVT4HUP/J/dTgtnAO2GF77abKTWTnLsCPRQcdg6cx1Wt3P71G4Uhz/xdrD5m1eom1j5u79ACHVNq+qWZZW6ZI69JgSMjQYvvAVr1A4+rsdCa/CHtXqe2ucwwUr+C+dPKDZCNCJjyMAoh2IDp3foQk6llJqRfdvQrG4cAMA92SgyvkBa5rIf18IiIWPiEJWnNSQfW5DlSZ3nlpDttTki6Hy/14dzFzsGkgkPodsjO6tg2MCtnfmV3IELhoipSCenxHht90U6AqT5uSh1Lu9QOoC4kHZ54H6V/YZ8iVTAoyHqklHKKF8HPHEsxpgNWya/u7J49gMTwcKrWCCgZT49L5hKCJN0cg05cRKGo5osbRfc1r+ooSvkutR7X23o+70Bd47En3++zw8lBY3Y0eWE8CqtGmpxfhG+eeZLfWLtKw0gAd0GJdE/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2096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Pascale Vincent</cp:lastModifiedBy>
  <cp:revision>2</cp:revision>
  <dcterms:created xsi:type="dcterms:W3CDTF">2023-02-16T09:09:00Z</dcterms:created>
  <dcterms:modified xsi:type="dcterms:W3CDTF">2023-02-16T09:09:00Z</dcterms:modified>
</cp:coreProperties>
</file>