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D" w:rsidRPr="005221DC" w:rsidRDefault="000B2DBC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Base des diplômés des métiers du sport 2015</w:t>
      </w:r>
    </w:p>
    <w:p w:rsidR="00FE345D" w:rsidRPr="00E31E34" w:rsidRDefault="00FE345D">
      <w:r>
        <w:t xml:space="preserve"> </w:t>
      </w:r>
    </w:p>
    <w:p w:rsidR="00FE345D" w:rsidRPr="00E31E34" w:rsidRDefault="00FE345D" w:rsidP="00FE345D">
      <w:pPr>
        <w:pStyle w:val="Paragraphedeliste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Description générale</w:t>
      </w:r>
    </w:p>
    <w:p w:rsidR="00627CEA" w:rsidRPr="00CD737B" w:rsidRDefault="00CD737B" w:rsidP="00CD737B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Généralités</w:t>
      </w:r>
    </w:p>
    <w:p w:rsidR="000B2DBC" w:rsidRPr="00FF3B69" w:rsidRDefault="000B2DBC" w:rsidP="000B2DB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/>
          <w:i/>
          <w:lang w:eastAsia="en-US"/>
        </w:rPr>
      </w:pPr>
      <w:r w:rsidRPr="000B2DBC">
        <w:rPr>
          <w:rFonts w:asciiTheme="minorHAnsi" w:eastAsiaTheme="minorHAnsi" w:hAnsiTheme="minorHAnsi"/>
          <w:lang w:eastAsia="en-US"/>
        </w:rPr>
        <w:t xml:space="preserve">Le code du sport indique que </w:t>
      </w:r>
      <w:r w:rsidRPr="00FF3B69">
        <w:rPr>
          <w:rFonts w:asciiTheme="minorHAnsi" w:eastAsiaTheme="minorHAnsi" w:hAnsiTheme="minorHAnsi"/>
          <w:i/>
          <w:lang w:eastAsia="en-US"/>
        </w:rPr>
        <w:t xml:space="preserve">« seuls peuvent, contre rémunération, enseigner, animer ou encadrer une activité physique ou sportive ou entraîner ses pratiquants, à titre d'occupation principale ou secondaire, de façon habituelle, saisonnière ou occasionnelle, sous réserve des dispositions du quatrième alinéa du présent article et de </w:t>
      </w:r>
      <w:hyperlink r:id="rId8" w:history="1">
        <w:r w:rsidRPr="00FF3B69">
          <w:rPr>
            <w:rFonts w:asciiTheme="minorHAnsi" w:eastAsiaTheme="minorHAnsi" w:hAnsiTheme="minorHAnsi"/>
            <w:i/>
            <w:lang w:eastAsia="en-US"/>
          </w:rPr>
          <w:t xml:space="preserve">l'article L. 212-2 </w:t>
        </w:r>
      </w:hyperlink>
      <w:r w:rsidRPr="00FF3B69">
        <w:rPr>
          <w:rFonts w:asciiTheme="minorHAnsi" w:eastAsiaTheme="minorHAnsi" w:hAnsiTheme="minorHAnsi"/>
          <w:i/>
          <w:lang w:eastAsia="en-US"/>
        </w:rPr>
        <w:t xml:space="preserve">du présent code, les titulaires d'un diplôme, titre à finalité professionnelle ou certificat de qualification : </w:t>
      </w:r>
    </w:p>
    <w:p w:rsidR="000B2DBC" w:rsidRPr="00FF3B69" w:rsidRDefault="000B2DBC" w:rsidP="000B2DB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/>
          <w:i/>
          <w:lang w:eastAsia="en-US"/>
        </w:rPr>
      </w:pPr>
      <w:r w:rsidRPr="00FF3B69">
        <w:rPr>
          <w:rFonts w:asciiTheme="minorHAnsi" w:eastAsiaTheme="minorHAnsi" w:hAnsiTheme="minorHAnsi"/>
          <w:i/>
          <w:lang w:eastAsia="en-US"/>
        </w:rPr>
        <w:t xml:space="preserve">1° Garantissant la compétence de son titulaire en matière de sécurité des pratiquants et des tiers dans l'activité considérée ; </w:t>
      </w:r>
    </w:p>
    <w:p w:rsidR="000B2DBC" w:rsidRPr="00FF3B69" w:rsidRDefault="000B2DBC" w:rsidP="000B2DB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/>
          <w:i/>
          <w:lang w:eastAsia="en-US"/>
        </w:rPr>
      </w:pPr>
      <w:r w:rsidRPr="00FF3B69">
        <w:rPr>
          <w:rFonts w:asciiTheme="minorHAnsi" w:eastAsiaTheme="minorHAnsi" w:hAnsiTheme="minorHAnsi"/>
          <w:i/>
          <w:lang w:eastAsia="en-US"/>
        </w:rPr>
        <w:t xml:space="preserve">2° Et enregistré au répertoire national des certifications professionnelles dans les conditions prévues au II de </w:t>
      </w:r>
      <w:hyperlink r:id="rId9" w:history="1">
        <w:r w:rsidRPr="00FF3B69">
          <w:rPr>
            <w:rFonts w:asciiTheme="minorHAnsi" w:eastAsiaTheme="minorHAnsi" w:hAnsiTheme="minorHAnsi"/>
            <w:i/>
            <w:lang w:eastAsia="en-US"/>
          </w:rPr>
          <w:t>l'article L. 335-6</w:t>
        </w:r>
      </w:hyperlink>
      <w:r w:rsidRPr="00FF3B69">
        <w:rPr>
          <w:rFonts w:asciiTheme="minorHAnsi" w:eastAsiaTheme="minorHAnsi" w:hAnsiTheme="minorHAnsi"/>
          <w:i/>
          <w:lang w:eastAsia="en-US"/>
        </w:rPr>
        <w:t xml:space="preserve"> du code de l'éducation. » </w:t>
      </w:r>
    </w:p>
    <w:p w:rsidR="000B2DBC" w:rsidRPr="000B2DBC" w:rsidRDefault="000B2DBC" w:rsidP="000B2DB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/>
          <w:lang w:eastAsia="en-US"/>
        </w:rPr>
      </w:pPr>
    </w:p>
    <w:p w:rsidR="000B2DBC" w:rsidRDefault="00FF3B69" w:rsidP="000B2DB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</w:t>
      </w:r>
      <w:r w:rsidR="000B2DBC" w:rsidRPr="000B2DBC">
        <w:rPr>
          <w:rFonts w:cs="Times New Roman"/>
          <w:sz w:val="24"/>
          <w:szCs w:val="24"/>
        </w:rPr>
        <w:t xml:space="preserve"> ministère de la ville, de la jeunesse et des sports</w:t>
      </w:r>
      <w:r>
        <w:rPr>
          <w:rFonts w:cs="Times New Roman"/>
          <w:sz w:val="24"/>
          <w:szCs w:val="24"/>
        </w:rPr>
        <w:t xml:space="preserve"> dispose</w:t>
      </w:r>
      <w:r w:rsidR="000B2DBC" w:rsidRPr="000B2D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d’</w:t>
      </w:r>
      <w:r w:rsidR="000B2DBC" w:rsidRPr="000B2DBC">
        <w:rPr>
          <w:rFonts w:cs="Times New Roman"/>
          <w:sz w:val="24"/>
          <w:szCs w:val="24"/>
        </w:rPr>
        <w:t xml:space="preserve">une base de données dressant la liste </w:t>
      </w:r>
      <w:r>
        <w:rPr>
          <w:rFonts w:cs="Times New Roman"/>
          <w:sz w:val="24"/>
          <w:szCs w:val="24"/>
        </w:rPr>
        <w:t>de ces diplômes délivrés</w:t>
      </w:r>
      <w:r w:rsidR="000B2DBC" w:rsidRPr="000B2DBC">
        <w:rPr>
          <w:rFonts w:cs="Times New Roman"/>
          <w:sz w:val="24"/>
          <w:szCs w:val="24"/>
        </w:rPr>
        <w:t>. Le présent jeu est une extraction de cette base de données, qui liste l’ensemble des diplômes délivrés en 2015.</w:t>
      </w:r>
    </w:p>
    <w:p w:rsidR="00B827D4" w:rsidRDefault="00B827D4" w:rsidP="000B2DB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caractéristiques et modalités d’obtention des diplômes sont décrites sur le site internet du ministère chargé des sports à la page suivante :</w:t>
      </w:r>
    </w:p>
    <w:p w:rsidR="00B827D4" w:rsidRPr="000B2DBC" w:rsidRDefault="001C132C" w:rsidP="000B2DBC">
      <w:pPr>
        <w:jc w:val="both"/>
        <w:rPr>
          <w:rFonts w:cs="Times New Roman"/>
          <w:sz w:val="24"/>
          <w:szCs w:val="24"/>
        </w:rPr>
      </w:pPr>
      <w:hyperlink r:id="rId10" w:history="1">
        <w:r w:rsidR="00B827D4" w:rsidRPr="00B827D4">
          <w:rPr>
            <w:rStyle w:val="Lienhypertexte"/>
            <w:rFonts w:cs="Times New Roman"/>
            <w:sz w:val="24"/>
            <w:szCs w:val="24"/>
          </w:rPr>
          <w:t>http://www.sports.gouv.fr/emplois-metiers/decouvrir-nos-offres-de-formations/</w:t>
        </w:r>
      </w:hyperlink>
      <w:r w:rsidR="00B827D4">
        <w:rPr>
          <w:rFonts w:cs="Times New Roman"/>
          <w:sz w:val="24"/>
          <w:szCs w:val="24"/>
        </w:rPr>
        <w:t xml:space="preserve"> </w:t>
      </w:r>
    </w:p>
    <w:p w:rsidR="000B2DBC" w:rsidRDefault="000B2DBC" w:rsidP="000B2DBC">
      <w:pPr>
        <w:jc w:val="both"/>
        <w:rPr>
          <w:rFonts w:cs="Times New Roman"/>
          <w:sz w:val="24"/>
          <w:szCs w:val="24"/>
        </w:rPr>
      </w:pPr>
      <w:r w:rsidRPr="000B2DBC">
        <w:rPr>
          <w:rFonts w:cs="Times New Roman"/>
          <w:sz w:val="24"/>
          <w:szCs w:val="24"/>
        </w:rPr>
        <w:t xml:space="preserve">Le ministère de la ville, de la jeunesse et des sports a édité un guide, </w:t>
      </w:r>
      <w:r w:rsidRPr="00FF3B69">
        <w:rPr>
          <w:rFonts w:cs="Times New Roman"/>
          <w:i/>
          <w:sz w:val="24"/>
          <w:szCs w:val="24"/>
        </w:rPr>
        <w:t>les métiers et les diplômes professionnels relevant du sport et de l’animation 2015</w:t>
      </w:r>
      <w:r w:rsidRPr="000B2DBC">
        <w:rPr>
          <w:rFonts w:cs="Times New Roman"/>
          <w:sz w:val="24"/>
          <w:szCs w:val="24"/>
        </w:rPr>
        <w:t>, téléchargeable depuis la page</w:t>
      </w:r>
      <w:r>
        <w:rPr>
          <w:rFonts w:cs="Times New Roman"/>
          <w:sz w:val="24"/>
          <w:szCs w:val="24"/>
        </w:rPr>
        <w:t xml:space="preserve"> suivante</w:t>
      </w:r>
      <w:r w:rsidR="00FF3B69">
        <w:rPr>
          <w:rFonts w:cs="Times New Roman"/>
          <w:sz w:val="24"/>
          <w:szCs w:val="24"/>
        </w:rPr>
        <w:t xml:space="preserve">, </w:t>
      </w:r>
      <w:hyperlink r:id="rId11" w:history="1">
        <w:r w:rsidRPr="000B2DBC">
          <w:rPr>
            <w:color w:val="00B0F0"/>
            <w:u w:val="single"/>
          </w:rPr>
          <w:t>http://www.sports.gouv.fr/emplois-metiers/decouvrir-nos-offres-de-formations/Guide-pratique-Les-metiers-et-les-diplomes-professionnels-relevant-du-sport</w:t>
        </w:r>
      </w:hyperlink>
      <w:r>
        <w:rPr>
          <w:rFonts w:cs="Times New Roman"/>
          <w:color w:val="00B0F0"/>
          <w:sz w:val="24"/>
          <w:szCs w:val="24"/>
          <w:u w:val="single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7C5185" w:rsidRDefault="000B2DBC" w:rsidP="00AC2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0B2DBC">
        <w:rPr>
          <w:rFonts w:cs="Times New Roman"/>
          <w:sz w:val="24"/>
          <w:szCs w:val="24"/>
        </w:rPr>
        <w:t xml:space="preserve">Ce guide vous permet de disposer des informations relatives aux diplômes délivrés. Le ministère de la ville, de la jeunesse et des sports a également édité un bilan statistiques relatives aux diplômes délivrés en 2015 pour les métiers du sport : les formations et les diplômes professionnels de l’animation et du sport, année 2015, disponible en format </w:t>
      </w:r>
      <w:proofErr w:type="spellStart"/>
      <w:r w:rsidRPr="000B2DBC">
        <w:rPr>
          <w:rFonts w:cs="Times New Roman"/>
          <w:sz w:val="24"/>
          <w:szCs w:val="24"/>
        </w:rPr>
        <w:t>pdf</w:t>
      </w:r>
      <w:proofErr w:type="spellEnd"/>
      <w:r w:rsidRPr="000B2DBC">
        <w:rPr>
          <w:rFonts w:cs="Times New Roman"/>
          <w:sz w:val="24"/>
          <w:szCs w:val="24"/>
        </w:rPr>
        <w:t>.</w:t>
      </w:r>
    </w:p>
    <w:p w:rsidR="007C5185" w:rsidRDefault="007C5185" w:rsidP="000B2DB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C5185" w:rsidRDefault="007C5185" w:rsidP="007C5185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Présentation du fichier de données</w:t>
      </w:r>
    </w:p>
    <w:p w:rsidR="00AC276E" w:rsidRDefault="00AC276E" w:rsidP="00AC27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276E">
        <w:rPr>
          <w:rFonts w:cs="Times New Roman"/>
          <w:sz w:val="24"/>
          <w:szCs w:val="24"/>
        </w:rPr>
        <w:t xml:space="preserve">Le jeu de données Diplôme_Formation_2015 ayant pour objet de recenser tous les titulaires des diplômes délivrés ouvrant droit à l’enseignement des activités physiques ou sportives contre rémunération, il est présenté par diplôme délivré. </w:t>
      </w:r>
    </w:p>
    <w:p w:rsidR="00AC276E" w:rsidRDefault="00AC276E" w:rsidP="00AC27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76E" w:rsidRDefault="00AC276E" w:rsidP="00AC27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76E" w:rsidRPr="00AC276E" w:rsidRDefault="00AC276E" w:rsidP="00AC27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76E" w:rsidRPr="00AC276E" w:rsidRDefault="00AC276E" w:rsidP="00AC276E">
      <w:pPr>
        <w:jc w:val="both"/>
        <w:rPr>
          <w:rFonts w:cs="Times New Roman"/>
          <w:b/>
          <w:sz w:val="28"/>
          <w:szCs w:val="28"/>
        </w:rPr>
      </w:pPr>
    </w:p>
    <w:tbl>
      <w:tblPr>
        <w:tblW w:w="8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22"/>
        <w:gridCol w:w="1185"/>
        <w:gridCol w:w="3824"/>
        <w:gridCol w:w="2129"/>
      </w:tblGrid>
      <w:tr w:rsidR="0094686B" w:rsidRPr="0094686B" w:rsidTr="0094686B">
        <w:trPr>
          <w:trHeight w:val="30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lastRenderedPageBreak/>
              <w:t>Variable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Format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Définition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Dictionnaire</w:t>
            </w:r>
          </w:p>
        </w:tc>
      </w:tr>
      <w:tr w:rsidR="0094686B" w:rsidRPr="0094686B" w:rsidTr="0094686B">
        <w:trPr>
          <w:trHeight w:val="12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Libelle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Type de diplôme délivré; 7 modalités de réponses: "BAPAAT" - "BE Alpinisme" - "BEES" - "BPJEPS (10UC)" - "DEJEPS" - "DEMM" - "DESJEPS"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6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SpecialiteId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Spécialité associée au diplôme délivré </w:t>
            </w: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délivré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bpjepsSpecialite</w:t>
            </w:r>
            <w:proofErr w:type="spellEnd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; </w:t>
            </w: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demmSpecialite</w:t>
            </w:r>
            <w:proofErr w:type="spellEnd"/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MentionId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Mention associée au diplôme délivré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dejepsMention</w:t>
            </w:r>
            <w:proofErr w:type="spellEnd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; </w:t>
            </w: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desjepsMention</w:t>
            </w:r>
            <w:proofErr w:type="spellEnd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; </w:t>
            </w: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bpjepsMention</w:t>
            </w:r>
            <w:proofErr w:type="spellEnd"/>
          </w:p>
        </w:tc>
      </w:tr>
      <w:tr w:rsidR="0094686B" w:rsidRPr="0094686B" w:rsidTr="0094686B">
        <w:trPr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OptionId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Option associée au diplôme délivré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bapaatOption</w:t>
            </w:r>
            <w:proofErr w:type="spellEnd"/>
          </w:p>
        </w:tc>
      </w:tr>
      <w:tr w:rsidR="0094686B" w:rsidRPr="0094686B" w:rsidTr="0094686B">
        <w:trPr>
          <w:trHeight w:val="6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CsId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Type de certificat de spécialisation associé au diplôme délivré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bpjepsUccCs</w:t>
            </w:r>
            <w:proofErr w:type="spellEnd"/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UccId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Type d’unité capitalisable complémentaire associée au </w:t>
            </w: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bpjeps</w:t>
            </w:r>
            <w:proofErr w:type="spellEnd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 délivré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bpjepsUccCs</w:t>
            </w:r>
            <w:proofErr w:type="spellEnd"/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CodePostal</w:t>
            </w:r>
            <w:proofErr w:type="spellEnd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 xml:space="preserve"> D'organisme de formation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 postal de localisation de l'organisme de formation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Ville de l'organisme de formation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Commune de localisation de l'organisme de formation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12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EffectifMinimum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Numérique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Effectif minimal nécessaire pour l'ouverture de la session de formation suivie ayant donné lieu à la délivrance du diplôme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EffectifMaximum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Numérique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Effectif maximal possible autorisé pour la session de formation suivie ayant donné lieu à la délivrance du diplôme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6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Identifiant du candidat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 xml:space="preserve">Numéro d'identifiant unique du candidat a qui a été décerné le diplôme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proofErr w:type="spellStart"/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RefCiviliteId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Sexe du candidat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Tranche d'âge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Tranche d'âge à laquelle appartient le candidat au moment de son inscription à la formation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6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Statut du candidat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Statut professionnel du candidat au moment de son inscription à la formation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9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CodePostal1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Code postal du lieu de résidence du candidat au moment de son inscription à la formation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  <w:tr w:rsidR="0094686B" w:rsidRPr="0094686B" w:rsidTr="0094686B">
        <w:trPr>
          <w:trHeight w:val="6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b/>
                <w:bCs/>
                <w:color w:val="000000"/>
                <w:lang w:eastAsia="fr-FR"/>
              </w:rPr>
              <w:t>Ville candidat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Texte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Commune de résidence du candidat au moment de son inscription à la formation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6B" w:rsidRPr="0094686B" w:rsidRDefault="0094686B" w:rsidP="0094686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fr-FR"/>
              </w:rPr>
            </w:pPr>
            <w:r w:rsidRPr="0094686B">
              <w:rPr>
                <w:rFonts w:ascii="Calibri" w:eastAsia="Times New Roman" w:hAnsi="Calibri" w:cs="Tahoma"/>
                <w:color w:val="000000"/>
                <w:lang w:eastAsia="fr-FR"/>
              </w:rPr>
              <w:t> </w:t>
            </w:r>
          </w:p>
        </w:tc>
      </w:tr>
    </w:tbl>
    <w:p w:rsidR="00AC276E" w:rsidRDefault="00AC276E" w:rsidP="00AC276E">
      <w:pPr>
        <w:pStyle w:val="Paragraphedeliste"/>
        <w:spacing w:after="0" w:line="240" w:lineRule="auto"/>
        <w:ind w:left="1080"/>
        <w:jc w:val="both"/>
        <w:rPr>
          <w:rFonts w:cs="Times New Roman"/>
          <w:b/>
          <w:sz w:val="28"/>
          <w:szCs w:val="28"/>
        </w:rPr>
      </w:pPr>
    </w:p>
    <w:p w:rsidR="00AC276E" w:rsidRDefault="00AC276E" w:rsidP="00AC276E">
      <w:pPr>
        <w:pStyle w:val="Paragraphedeliste"/>
        <w:spacing w:after="0" w:line="240" w:lineRule="auto"/>
        <w:ind w:left="1080"/>
        <w:jc w:val="both"/>
        <w:rPr>
          <w:rFonts w:cs="Times New Roman"/>
          <w:b/>
          <w:sz w:val="28"/>
          <w:szCs w:val="28"/>
        </w:rPr>
      </w:pPr>
    </w:p>
    <w:p w:rsidR="007C5185" w:rsidRPr="007C5185" w:rsidRDefault="007C5185" w:rsidP="007C51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C5185">
        <w:rPr>
          <w:rFonts w:cs="Times New Roman"/>
          <w:b/>
          <w:sz w:val="28"/>
          <w:szCs w:val="28"/>
        </w:rPr>
        <w:lastRenderedPageBreak/>
        <w:t>Précisions sur les spécificités du jeu de données</w:t>
      </w:r>
    </w:p>
    <w:p w:rsidR="009873AF" w:rsidRDefault="009873AF" w:rsidP="009873AF">
      <w:pPr>
        <w:jc w:val="both"/>
        <w:rPr>
          <w:rFonts w:cs="Times New Roman"/>
          <w:b/>
          <w:sz w:val="24"/>
          <w:szCs w:val="24"/>
        </w:rPr>
      </w:pPr>
    </w:p>
    <w:p w:rsidR="009873AF" w:rsidRPr="009873AF" w:rsidRDefault="009873AF" w:rsidP="009873AF">
      <w:pPr>
        <w:jc w:val="both"/>
        <w:rPr>
          <w:rFonts w:cs="Times New Roman"/>
          <w:b/>
          <w:sz w:val="24"/>
          <w:szCs w:val="24"/>
        </w:rPr>
      </w:pPr>
      <w:r w:rsidRPr="009873AF">
        <w:rPr>
          <w:rFonts w:cs="Times New Roman"/>
          <w:b/>
          <w:sz w:val="24"/>
          <w:szCs w:val="24"/>
        </w:rPr>
        <w:t>Spécificités générales du jeu de données</w:t>
      </w:r>
    </w:p>
    <w:p w:rsidR="00922B4E" w:rsidRDefault="009873AF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C6DB7">
        <w:rPr>
          <w:rFonts w:cs="Times New Roman"/>
          <w:sz w:val="24"/>
          <w:szCs w:val="24"/>
        </w:rPr>
        <w:t xml:space="preserve">Le présent jeu de données liste l’ensemble des diplômes </w:t>
      </w:r>
      <w:r w:rsidR="009C6DB7" w:rsidRPr="009C6DB7">
        <w:rPr>
          <w:rFonts w:cs="Times New Roman"/>
          <w:sz w:val="24"/>
          <w:szCs w:val="24"/>
        </w:rPr>
        <w:t xml:space="preserve">ouvrant droit </w:t>
      </w:r>
      <w:r w:rsidR="009C6DB7" w:rsidRPr="009C6DB7">
        <w:rPr>
          <w:sz w:val="24"/>
          <w:szCs w:val="24"/>
        </w:rPr>
        <w:t>contre rémunération à l’enseignement, à l’animation ou à l’encadrement d’une activité physique ou sportive</w:t>
      </w:r>
      <w:r w:rsidR="009C6DB7">
        <w:rPr>
          <w:sz w:val="24"/>
          <w:szCs w:val="24"/>
        </w:rPr>
        <w:t>,</w:t>
      </w:r>
      <w:r w:rsidR="009C6DB7" w:rsidRPr="009C6DB7">
        <w:rPr>
          <w:rFonts w:cs="Times New Roman"/>
          <w:sz w:val="24"/>
          <w:szCs w:val="24"/>
        </w:rPr>
        <w:t xml:space="preserve"> </w:t>
      </w:r>
      <w:r w:rsidR="009C6DB7">
        <w:rPr>
          <w:rFonts w:cs="Times New Roman"/>
          <w:sz w:val="24"/>
          <w:szCs w:val="24"/>
        </w:rPr>
        <w:t>délivrés en 2015. En y associant certaines caractéristiques relatives aux sessio</w:t>
      </w:r>
      <w:r w:rsidR="00367971">
        <w:rPr>
          <w:rFonts w:cs="Times New Roman"/>
          <w:sz w:val="24"/>
          <w:szCs w:val="24"/>
        </w:rPr>
        <w:t>ns de formation ayant donné lieu à la délivrance du diplôme, il permet également de reconstituer l’offre de formation nationale en 2015.</w:t>
      </w:r>
      <w:r w:rsidR="009C6DB7">
        <w:rPr>
          <w:rFonts w:cs="Times New Roman"/>
          <w:sz w:val="24"/>
          <w:szCs w:val="24"/>
        </w:rPr>
        <w:t xml:space="preserve"> </w:t>
      </w:r>
    </w:p>
    <w:p w:rsidR="00922B4E" w:rsidRDefault="00922B4E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2DBC" w:rsidRDefault="00922B4E" w:rsidP="001F6D2D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Certaines cellules sont parfois </w:t>
      </w:r>
      <w:r w:rsidR="00437668">
        <w:rPr>
          <w:rFonts w:cs="Times New Roman"/>
          <w:sz w:val="24"/>
          <w:szCs w:val="24"/>
        </w:rPr>
        <w:t>vides</w:t>
      </w:r>
      <w:r>
        <w:rPr>
          <w:rFonts w:cs="Times New Roman"/>
          <w:sz w:val="24"/>
          <w:szCs w:val="24"/>
        </w:rPr>
        <w:t xml:space="preserve">. L’information est alors soit non </w:t>
      </w:r>
      <w:r w:rsidR="00437668">
        <w:rPr>
          <w:rFonts w:cs="Times New Roman"/>
          <w:sz w:val="24"/>
          <w:szCs w:val="24"/>
        </w:rPr>
        <w:t>renseignée</w:t>
      </w:r>
      <w:r>
        <w:rPr>
          <w:rFonts w:cs="Times New Roman"/>
          <w:sz w:val="24"/>
          <w:szCs w:val="24"/>
        </w:rPr>
        <w:t>, soit sans objet.</w:t>
      </w:r>
      <w:r w:rsidR="009C6DB7" w:rsidRPr="009C6DB7">
        <w:rPr>
          <w:sz w:val="24"/>
          <w:szCs w:val="24"/>
        </w:rPr>
        <w:t xml:space="preserve"> </w:t>
      </w:r>
    </w:p>
    <w:p w:rsidR="00367971" w:rsidRDefault="00367971" w:rsidP="001F6D2D">
      <w:pPr>
        <w:spacing w:after="0" w:line="240" w:lineRule="auto"/>
        <w:jc w:val="both"/>
        <w:rPr>
          <w:sz w:val="24"/>
          <w:szCs w:val="24"/>
        </w:rPr>
      </w:pPr>
    </w:p>
    <w:p w:rsidR="006D750D" w:rsidRDefault="00367971" w:rsidP="006D750D">
      <w:pPr>
        <w:jc w:val="both"/>
        <w:rPr>
          <w:rFonts w:cs="Times New Roman"/>
          <w:b/>
          <w:sz w:val="24"/>
          <w:szCs w:val="24"/>
        </w:rPr>
      </w:pPr>
      <w:r w:rsidRPr="009D7347">
        <w:rPr>
          <w:rFonts w:cs="Times New Roman"/>
          <w:b/>
          <w:sz w:val="24"/>
          <w:szCs w:val="24"/>
        </w:rPr>
        <w:t>Spécificités de la colonne « </w:t>
      </w:r>
      <w:r>
        <w:rPr>
          <w:rFonts w:cs="Times New Roman"/>
          <w:b/>
          <w:sz w:val="24"/>
          <w:szCs w:val="24"/>
        </w:rPr>
        <w:t>Libelle</w:t>
      </w:r>
      <w:r w:rsidRPr="009D7347">
        <w:rPr>
          <w:rFonts w:cs="Times New Roman"/>
          <w:b/>
          <w:sz w:val="24"/>
          <w:szCs w:val="24"/>
        </w:rPr>
        <w:t xml:space="preserve"> » </w:t>
      </w:r>
    </w:p>
    <w:p w:rsidR="00367971" w:rsidRPr="006D750D" w:rsidRDefault="00367971" w:rsidP="006D750D">
      <w:pPr>
        <w:jc w:val="both"/>
        <w:rPr>
          <w:rFonts w:cs="Times New Roman"/>
          <w:b/>
          <w:sz w:val="24"/>
          <w:szCs w:val="24"/>
        </w:rPr>
      </w:pPr>
      <w:r w:rsidRPr="00367971">
        <w:rPr>
          <w:sz w:val="24"/>
          <w:szCs w:val="24"/>
        </w:rPr>
        <w:t xml:space="preserve">Cette </w:t>
      </w:r>
      <w:r w:rsidR="000E5D17">
        <w:rPr>
          <w:sz w:val="24"/>
          <w:szCs w:val="24"/>
        </w:rPr>
        <w:t>indique le</w:t>
      </w:r>
      <w:r w:rsidRPr="00367971">
        <w:rPr>
          <w:sz w:val="24"/>
          <w:szCs w:val="24"/>
        </w:rPr>
        <w:t xml:space="preserve"> type de diplôme délivré. Il en existe 7 : </w:t>
      </w:r>
      <w:r w:rsidRPr="0036797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"BAPAAT" - "BE Alpinisme" - "BEES" - "BPJEPS (10UC)" - "DEJEPS" - "DEMM" - "DESJEPS"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</w:p>
    <w:p w:rsidR="006D750D" w:rsidRDefault="006D750D" w:rsidP="006D750D">
      <w:pPr>
        <w:jc w:val="both"/>
        <w:rPr>
          <w:rFonts w:cs="Times New Roman"/>
          <w:b/>
          <w:sz w:val="24"/>
          <w:szCs w:val="24"/>
        </w:rPr>
      </w:pPr>
      <w:r w:rsidRPr="00D02CAD">
        <w:rPr>
          <w:rFonts w:cs="Times New Roman"/>
          <w:b/>
          <w:sz w:val="24"/>
          <w:szCs w:val="24"/>
        </w:rPr>
        <w:t>Spécificités de la colonne « </w:t>
      </w:r>
      <w:proofErr w:type="spellStart"/>
      <w:r w:rsidRPr="00D02CAD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SpecialiteId</w:t>
      </w:r>
      <w:proofErr w:type="spellEnd"/>
      <w:r w:rsidRPr="00D02CAD">
        <w:rPr>
          <w:rFonts w:cs="Times New Roman"/>
          <w:b/>
          <w:sz w:val="24"/>
          <w:szCs w:val="24"/>
        </w:rPr>
        <w:t xml:space="preserve"> » </w:t>
      </w:r>
    </w:p>
    <w:p w:rsidR="006D750D" w:rsidRDefault="006D750D" w:rsidP="006D750D">
      <w:pPr>
        <w:spacing w:after="0" w:line="240" w:lineRule="auto"/>
        <w:jc w:val="both"/>
        <w:rPr>
          <w:sz w:val="24"/>
          <w:szCs w:val="24"/>
        </w:rPr>
      </w:pPr>
      <w:r w:rsidRPr="00D02CAD">
        <w:rPr>
          <w:rFonts w:cs="Times New Roman"/>
          <w:sz w:val="24"/>
          <w:szCs w:val="24"/>
        </w:rPr>
        <w:t xml:space="preserve">Cette colonne indique le type de spécialité associée au </w:t>
      </w:r>
      <w:r>
        <w:rPr>
          <w:rFonts w:cs="Times New Roman"/>
          <w:sz w:val="24"/>
          <w:szCs w:val="24"/>
        </w:rPr>
        <w:t xml:space="preserve">diplôme </w:t>
      </w:r>
      <w:r w:rsidRPr="00D02CAD">
        <w:rPr>
          <w:rFonts w:cs="Times New Roman"/>
          <w:sz w:val="24"/>
          <w:szCs w:val="24"/>
        </w:rPr>
        <w:t>délivré.</w:t>
      </w:r>
      <w:r>
        <w:rPr>
          <w:rFonts w:cs="Times New Roman"/>
          <w:sz w:val="24"/>
          <w:szCs w:val="24"/>
        </w:rPr>
        <w:t xml:space="preserve"> La « spécialité » fait référence au champ des activités physiques ou sportives </w:t>
      </w:r>
      <w:r w:rsidRPr="00D02CAD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auxquelles le diplôme ouvre droit </w:t>
      </w:r>
      <w:r w:rsidRPr="009C6DB7">
        <w:rPr>
          <w:sz w:val="24"/>
          <w:szCs w:val="24"/>
        </w:rPr>
        <w:t>contre rémunération à l’enseignement, à l’animation ou à l’encadrement</w:t>
      </w:r>
      <w:r>
        <w:rPr>
          <w:sz w:val="24"/>
          <w:szCs w:val="24"/>
        </w:rPr>
        <w:t xml:space="preserve">. Cette modalité n’est </w:t>
      </w:r>
      <w:r w:rsidR="00C46B76">
        <w:rPr>
          <w:sz w:val="24"/>
          <w:szCs w:val="24"/>
        </w:rPr>
        <w:t>spécifiée que pour les</w:t>
      </w:r>
      <w:r>
        <w:rPr>
          <w:sz w:val="24"/>
          <w:szCs w:val="24"/>
        </w:rPr>
        <w:t xml:space="preserve"> diplômes libellés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"BPJEPS (10UC)" et</w:t>
      </w:r>
      <w:r w:rsidRPr="0036797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"</w:t>
      </w:r>
      <w:r w:rsidR="00D705D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DEMM</w:t>
      </w:r>
      <w:r w:rsidRPr="0036797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"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 La no</w:t>
      </w:r>
      <w:r>
        <w:rPr>
          <w:sz w:val="24"/>
          <w:szCs w:val="24"/>
        </w:rPr>
        <w:t>menclature utilisée est disponible dans le fichier « Diplome_Formation_2015_V2_Dictionnaire ».</w:t>
      </w:r>
    </w:p>
    <w:p w:rsidR="00D705D0" w:rsidRDefault="00D705D0" w:rsidP="006D750D">
      <w:pPr>
        <w:spacing w:after="0" w:line="240" w:lineRule="auto"/>
        <w:jc w:val="both"/>
        <w:rPr>
          <w:sz w:val="24"/>
          <w:szCs w:val="24"/>
        </w:rPr>
      </w:pPr>
    </w:p>
    <w:p w:rsidR="00D705D0" w:rsidRPr="000E5D17" w:rsidRDefault="00D705D0" w:rsidP="00D705D0">
      <w:pPr>
        <w:jc w:val="both"/>
        <w:rPr>
          <w:rFonts w:cs="Times New Roman"/>
          <w:b/>
          <w:sz w:val="24"/>
          <w:szCs w:val="24"/>
        </w:rPr>
      </w:pPr>
      <w:r w:rsidRPr="000E5D17">
        <w:rPr>
          <w:rFonts w:cs="Times New Roman"/>
          <w:b/>
          <w:sz w:val="24"/>
          <w:szCs w:val="24"/>
        </w:rPr>
        <w:t>Spécificités de la colonne « </w:t>
      </w:r>
      <w:proofErr w:type="spellStart"/>
      <w:r w:rsidRPr="000E5D17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MentionId</w:t>
      </w:r>
      <w:proofErr w:type="spellEnd"/>
      <w:r w:rsidRPr="000E5D17">
        <w:rPr>
          <w:rFonts w:cs="Times New Roman"/>
          <w:b/>
          <w:sz w:val="24"/>
          <w:szCs w:val="24"/>
        </w:rPr>
        <w:t xml:space="preserve"> » </w:t>
      </w:r>
    </w:p>
    <w:p w:rsidR="00D705D0" w:rsidRDefault="00D705D0" w:rsidP="00D705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colonne indique le type de mention associée au diplôme délivré. La « mention » fait référence au champ des activités physiques ou sportives auxquelles le diplôme ouvre droit </w:t>
      </w:r>
      <w:r w:rsidRPr="009C6DB7">
        <w:rPr>
          <w:sz w:val="24"/>
          <w:szCs w:val="24"/>
        </w:rPr>
        <w:t>contre rémunération à l’enseignement, à l’animation ou à l’encadrement</w:t>
      </w:r>
      <w:r>
        <w:rPr>
          <w:sz w:val="24"/>
          <w:szCs w:val="24"/>
        </w:rPr>
        <w:t xml:space="preserve">. </w:t>
      </w:r>
      <w:r w:rsidR="00C46B76">
        <w:rPr>
          <w:sz w:val="24"/>
          <w:szCs w:val="24"/>
        </w:rPr>
        <w:t xml:space="preserve">Cette modalité n’est spécifiée que pour les diplômes libellés </w:t>
      </w:r>
      <w:r w:rsidR="00C46B7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"BPJEPS (10UC)", "DEJEPS" et</w:t>
      </w:r>
      <w:r w:rsidR="00C46B76" w:rsidRPr="0036797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"DESJEPS"</w:t>
      </w:r>
      <w:r w:rsidR="00C46B7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  <w:r w:rsidR="00C46B76">
        <w:rPr>
          <w:sz w:val="24"/>
          <w:szCs w:val="24"/>
        </w:rPr>
        <w:t xml:space="preserve"> </w:t>
      </w:r>
      <w:r>
        <w:rPr>
          <w:sz w:val="24"/>
          <w:szCs w:val="24"/>
        </w:rPr>
        <w:t>La nomenclature utilisée est disponible dans le fichier « Diplome_Formation_2015_V2_Dictionnaire ».</w:t>
      </w:r>
    </w:p>
    <w:p w:rsidR="00D705D0" w:rsidRDefault="00D705D0" w:rsidP="006D750D">
      <w:pPr>
        <w:spacing w:after="0" w:line="240" w:lineRule="auto"/>
        <w:jc w:val="both"/>
        <w:rPr>
          <w:sz w:val="24"/>
          <w:szCs w:val="24"/>
        </w:rPr>
      </w:pPr>
    </w:p>
    <w:p w:rsidR="006D750D" w:rsidRDefault="006D750D" w:rsidP="006D750D">
      <w:pPr>
        <w:spacing w:after="0" w:line="240" w:lineRule="auto"/>
        <w:jc w:val="both"/>
        <w:rPr>
          <w:sz w:val="24"/>
          <w:szCs w:val="24"/>
        </w:rPr>
      </w:pPr>
    </w:p>
    <w:p w:rsidR="006D750D" w:rsidRDefault="006D750D" w:rsidP="006D750D">
      <w:pPr>
        <w:jc w:val="both"/>
        <w:rPr>
          <w:rFonts w:cs="Times New Roman"/>
          <w:b/>
          <w:sz w:val="24"/>
          <w:szCs w:val="24"/>
        </w:rPr>
      </w:pPr>
      <w:r w:rsidRPr="00D02CAD">
        <w:rPr>
          <w:rFonts w:cs="Times New Roman"/>
          <w:b/>
          <w:sz w:val="24"/>
          <w:szCs w:val="24"/>
        </w:rPr>
        <w:t>Spécificités de la colonne « 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Option</w:t>
      </w:r>
      <w:r w:rsidRPr="00D02CAD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Id</w:t>
      </w:r>
      <w:proofErr w:type="spellEnd"/>
      <w:r w:rsidRPr="00D02CAD">
        <w:rPr>
          <w:rFonts w:cs="Times New Roman"/>
          <w:b/>
          <w:sz w:val="24"/>
          <w:szCs w:val="24"/>
        </w:rPr>
        <w:t xml:space="preserve"> » </w:t>
      </w:r>
    </w:p>
    <w:p w:rsidR="006D750D" w:rsidRDefault="006D750D" w:rsidP="006D750D">
      <w:pPr>
        <w:spacing w:after="0" w:line="240" w:lineRule="auto"/>
        <w:jc w:val="both"/>
        <w:rPr>
          <w:sz w:val="24"/>
          <w:szCs w:val="24"/>
        </w:rPr>
      </w:pPr>
      <w:r w:rsidRPr="00D02CAD">
        <w:rPr>
          <w:rFonts w:cs="Times New Roman"/>
          <w:sz w:val="24"/>
          <w:szCs w:val="24"/>
        </w:rPr>
        <w:t>Cette colonne indique le type d</w:t>
      </w:r>
      <w:r>
        <w:rPr>
          <w:rFonts w:cs="Times New Roman"/>
          <w:sz w:val="24"/>
          <w:szCs w:val="24"/>
        </w:rPr>
        <w:t xml:space="preserve">’option </w:t>
      </w:r>
      <w:r w:rsidRPr="00D02CAD">
        <w:rPr>
          <w:rFonts w:cs="Times New Roman"/>
          <w:sz w:val="24"/>
          <w:szCs w:val="24"/>
        </w:rPr>
        <w:t xml:space="preserve">associée au </w:t>
      </w:r>
      <w:r>
        <w:rPr>
          <w:rFonts w:cs="Times New Roman"/>
          <w:sz w:val="24"/>
          <w:szCs w:val="24"/>
        </w:rPr>
        <w:t xml:space="preserve">diplôme </w:t>
      </w:r>
      <w:r w:rsidRPr="00D02CAD">
        <w:rPr>
          <w:rFonts w:cs="Times New Roman"/>
          <w:sz w:val="24"/>
          <w:szCs w:val="24"/>
        </w:rPr>
        <w:t>délivré.</w:t>
      </w:r>
      <w:r>
        <w:rPr>
          <w:rFonts w:cs="Times New Roman"/>
          <w:sz w:val="24"/>
          <w:szCs w:val="24"/>
        </w:rPr>
        <w:t xml:space="preserve"> L’« option » fait référence au champ </w:t>
      </w:r>
      <w:r w:rsidR="00D705D0">
        <w:rPr>
          <w:rFonts w:cs="Times New Roman"/>
          <w:sz w:val="24"/>
          <w:szCs w:val="24"/>
        </w:rPr>
        <w:t xml:space="preserve">d’intervention </w:t>
      </w:r>
      <w:r w:rsidR="00D705D0">
        <w:rPr>
          <w:sz w:val="24"/>
          <w:szCs w:val="24"/>
        </w:rPr>
        <w:t>auquel</w:t>
      </w:r>
      <w:r>
        <w:rPr>
          <w:sz w:val="24"/>
          <w:szCs w:val="24"/>
        </w:rPr>
        <w:t xml:space="preserve"> le diplôme ouvre droit </w:t>
      </w:r>
      <w:r w:rsidRPr="009C6DB7">
        <w:rPr>
          <w:sz w:val="24"/>
          <w:szCs w:val="24"/>
        </w:rPr>
        <w:t>contre rémunération à l’enseignement, à l’animation ou à l’encadrement</w:t>
      </w:r>
      <w:r>
        <w:rPr>
          <w:sz w:val="24"/>
          <w:szCs w:val="24"/>
        </w:rPr>
        <w:t xml:space="preserve">. </w:t>
      </w:r>
    </w:p>
    <w:p w:rsidR="006D750D" w:rsidRDefault="006D750D" w:rsidP="006D750D">
      <w:pPr>
        <w:spacing w:after="0" w:line="240" w:lineRule="auto"/>
        <w:jc w:val="both"/>
        <w:rPr>
          <w:sz w:val="24"/>
          <w:szCs w:val="24"/>
        </w:rPr>
      </w:pPr>
    </w:p>
    <w:p w:rsidR="006D750D" w:rsidRDefault="006D750D" w:rsidP="006D75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modalité n’est </w:t>
      </w:r>
      <w:r w:rsidR="00C46B76">
        <w:rPr>
          <w:sz w:val="24"/>
          <w:szCs w:val="24"/>
        </w:rPr>
        <w:t>spécifiée que pour le diplôme libellé</w:t>
      </w:r>
      <w:r>
        <w:rPr>
          <w:sz w:val="24"/>
          <w:szCs w:val="24"/>
        </w:rPr>
        <w:t xml:space="preserve"> </w:t>
      </w:r>
      <w:r w:rsidR="00D705D0" w:rsidRPr="0036797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"BAPAAT"</w:t>
      </w:r>
      <w:r w:rsidR="00D705D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no</w:t>
      </w:r>
      <w:r>
        <w:rPr>
          <w:sz w:val="24"/>
          <w:szCs w:val="24"/>
        </w:rPr>
        <w:t>menclature utilisée est disponible dans le fichier « Diplome_Formation_2015_V2_Dictionnaire ».</w:t>
      </w:r>
    </w:p>
    <w:p w:rsidR="00D705D0" w:rsidRDefault="00D705D0" w:rsidP="006D750D">
      <w:pPr>
        <w:spacing w:after="0" w:line="240" w:lineRule="auto"/>
        <w:jc w:val="both"/>
        <w:rPr>
          <w:sz w:val="24"/>
          <w:szCs w:val="24"/>
        </w:rPr>
      </w:pPr>
    </w:p>
    <w:p w:rsidR="00D705D0" w:rsidRDefault="00D705D0" w:rsidP="00D705D0">
      <w:pPr>
        <w:jc w:val="both"/>
        <w:rPr>
          <w:rFonts w:cs="Times New Roman"/>
          <w:b/>
          <w:sz w:val="24"/>
          <w:szCs w:val="24"/>
        </w:rPr>
      </w:pPr>
      <w:r w:rsidRPr="00D02CAD">
        <w:rPr>
          <w:rFonts w:cs="Times New Roman"/>
          <w:b/>
          <w:sz w:val="24"/>
          <w:szCs w:val="24"/>
        </w:rPr>
        <w:t>Spécificités de la colonne « 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Cs</w:t>
      </w:r>
      <w:r w:rsidRPr="00D02CAD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Id</w:t>
      </w:r>
      <w:proofErr w:type="spellEnd"/>
      <w:r w:rsidRPr="00D02CAD">
        <w:rPr>
          <w:rFonts w:cs="Times New Roman"/>
          <w:b/>
          <w:sz w:val="24"/>
          <w:szCs w:val="24"/>
        </w:rPr>
        <w:t xml:space="preserve"> » </w:t>
      </w:r>
    </w:p>
    <w:p w:rsidR="00D705D0" w:rsidRDefault="00D705D0" w:rsidP="00D705D0">
      <w:pPr>
        <w:spacing w:after="0" w:line="240" w:lineRule="auto"/>
        <w:jc w:val="both"/>
        <w:rPr>
          <w:sz w:val="24"/>
          <w:szCs w:val="24"/>
        </w:rPr>
      </w:pPr>
      <w:r w:rsidRPr="00E84A85">
        <w:rPr>
          <w:sz w:val="24"/>
          <w:szCs w:val="24"/>
        </w:rPr>
        <w:lastRenderedPageBreak/>
        <w:t>Cette colonne indique le</w:t>
      </w:r>
      <w:r>
        <w:rPr>
          <w:sz w:val="24"/>
          <w:szCs w:val="24"/>
        </w:rPr>
        <w:t xml:space="preserve"> type de</w:t>
      </w:r>
      <w:r w:rsidRPr="00E84A85">
        <w:rPr>
          <w:sz w:val="24"/>
          <w:szCs w:val="24"/>
        </w:rPr>
        <w:t xml:space="preserve"> certific</w:t>
      </w:r>
      <w:r>
        <w:rPr>
          <w:sz w:val="24"/>
          <w:szCs w:val="24"/>
        </w:rPr>
        <w:t>at de spécialisation associé au</w:t>
      </w:r>
      <w:r w:rsidRPr="00E84A85">
        <w:rPr>
          <w:sz w:val="24"/>
          <w:szCs w:val="24"/>
        </w:rPr>
        <w:t xml:space="preserve"> </w:t>
      </w:r>
      <w:proofErr w:type="spellStart"/>
      <w:r w:rsidRPr="00E84A85">
        <w:rPr>
          <w:sz w:val="24"/>
          <w:szCs w:val="24"/>
        </w:rPr>
        <w:t>bpjeps</w:t>
      </w:r>
      <w:proofErr w:type="spellEnd"/>
      <w:r w:rsidRPr="00E84A85">
        <w:rPr>
          <w:sz w:val="24"/>
          <w:szCs w:val="24"/>
        </w:rPr>
        <w:t xml:space="preserve"> délivré. Le certificat de spécialisation est un regroupement de plusieurs u</w:t>
      </w:r>
      <w:r>
        <w:rPr>
          <w:sz w:val="24"/>
          <w:szCs w:val="24"/>
        </w:rPr>
        <w:t>ni</w:t>
      </w:r>
      <w:r w:rsidRPr="00E84A85">
        <w:rPr>
          <w:sz w:val="24"/>
          <w:szCs w:val="24"/>
        </w:rPr>
        <w:t>tés capitalisables complémentaires qui attestent de compétences professionnelles complémentaires à celles certifiées par un BPJEPS et élargi à son titulaire ses prérogatives.</w:t>
      </w:r>
      <w:r>
        <w:rPr>
          <w:sz w:val="24"/>
          <w:szCs w:val="24"/>
        </w:rPr>
        <w:t xml:space="preserve"> </w:t>
      </w:r>
      <w:r w:rsidR="00CA20B4">
        <w:rPr>
          <w:sz w:val="24"/>
          <w:szCs w:val="24"/>
        </w:rPr>
        <w:t xml:space="preserve">Cette modalité n’est spécifiée que pour les diplômes libellés </w:t>
      </w:r>
      <w:r w:rsidR="00CA20B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"BPJEPS (10UC)".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no</w:t>
      </w:r>
      <w:r>
        <w:rPr>
          <w:sz w:val="24"/>
          <w:szCs w:val="24"/>
        </w:rPr>
        <w:t>menclature utilisée est disponible dans le fichier « Diplome_Formation_2015_V2_Dictionnaire ».</w:t>
      </w:r>
    </w:p>
    <w:p w:rsidR="00D705D0" w:rsidRDefault="00D705D0" w:rsidP="00D705D0">
      <w:pPr>
        <w:spacing w:after="0" w:line="240" w:lineRule="auto"/>
        <w:jc w:val="both"/>
        <w:rPr>
          <w:sz w:val="24"/>
          <w:szCs w:val="24"/>
        </w:rPr>
      </w:pPr>
    </w:p>
    <w:p w:rsidR="00D705D0" w:rsidRDefault="00D705D0" w:rsidP="00D705D0">
      <w:pPr>
        <w:jc w:val="both"/>
        <w:rPr>
          <w:rFonts w:cs="Times New Roman"/>
          <w:b/>
          <w:sz w:val="24"/>
          <w:szCs w:val="24"/>
        </w:rPr>
      </w:pPr>
      <w:r w:rsidRPr="00D02CAD">
        <w:rPr>
          <w:rFonts w:cs="Times New Roman"/>
          <w:b/>
          <w:sz w:val="24"/>
          <w:szCs w:val="24"/>
        </w:rPr>
        <w:t>Spécificités de la colonne « 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Ucc</w:t>
      </w:r>
      <w:r w:rsidRPr="00D02CAD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Id</w:t>
      </w:r>
      <w:proofErr w:type="spellEnd"/>
      <w:r w:rsidRPr="00D02CAD">
        <w:rPr>
          <w:rFonts w:cs="Times New Roman"/>
          <w:b/>
          <w:sz w:val="24"/>
          <w:szCs w:val="24"/>
        </w:rPr>
        <w:t xml:space="preserve"> » </w:t>
      </w:r>
    </w:p>
    <w:p w:rsidR="00D705D0" w:rsidRDefault="00D705D0" w:rsidP="00D705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colonne indique le type d’unité capitalisable complémentaire associée au </w:t>
      </w:r>
      <w:r w:rsidR="00CA20B4">
        <w:rPr>
          <w:sz w:val="24"/>
          <w:szCs w:val="24"/>
        </w:rPr>
        <w:t>diplôme</w:t>
      </w:r>
      <w:r>
        <w:rPr>
          <w:sz w:val="24"/>
          <w:szCs w:val="24"/>
        </w:rPr>
        <w:t xml:space="preserve"> délivré. Une </w:t>
      </w:r>
      <w:r w:rsidRPr="00E84A85">
        <w:rPr>
          <w:sz w:val="24"/>
          <w:szCs w:val="24"/>
        </w:rPr>
        <w:t>u</w:t>
      </w:r>
      <w:r>
        <w:rPr>
          <w:sz w:val="24"/>
          <w:szCs w:val="24"/>
        </w:rPr>
        <w:t>nité capitalisable</w:t>
      </w:r>
      <w:r w:rsidRPr="00E84A85">
        <w:rPr>
          <w:sz w:val="24"/>
          <w:szCs w:val="24"/>
        </w:rPr>
        <w:t xml:space="preserve"> complémentai</w:t>
      </w:r>
      <w:r>
        <w:rPr>
          <w:sz w:val="24"/>
          <w:szCs w:val="24"/>
        </w:rPr>
        <w:t>re</w:t>
      </w:r>
      <w:r w:rsidRPr="00E84A85">
        <w:rPr>
          <w:sz w:val="24"/>
          <w:szCs w:val="24"/>
        </w:rPr>
        <w:t xml:space="preserve"> </w:t>
      </w:r>
      <w:r>
        <w:rPr>
          <w:sz w:val="24"/>
          <w:szCs w:val="24"/>
        </w:rPr>
        <w:t>atteste</w:t>
      </w:r>
      <w:r w:rsidRPr="00E84A85">
        <w:rPr>
          <w:sz w:val="24"/>
          <w:szCs w:val="24"/>
        </w:rPr>
        <w:t xml:space="preserve"> de compétences professionnelles complémentaires à celles certifiées par un BPJEPS et élargi à son titulaire ses prérogatives.</w:t>
      </w:r>
      <w:r w:rsidR="00CA20B4" w:rsidRPr="00CA20B4">
        <w:rPr>
          <w:sz w:val="24"/>
          <w:szCs w:val="24"/>
        </w:rPr>
        <w:t xml:space="preserve"> </w:t>
      </w:r>
      <w:r w:rsidR="00CA20B4">
        <w:rPr>
          <w:sz w:val="24"/>
          <w:szCs w:val="24"/>
        </w:rPr>
        <w:t xml:space="preserve">Cette modalité n’est spécifiée que pour les diplômes libellés </w:t>
      </w:r>
      <w:r w:rsidR="00CA20B4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"BPJEPS (10UC)".</w:t>
      </w:r>
      <w:r w:rsidRPr="00D705D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no</w:t>
      </w:r>
      <w:r>
        <w:rPr>
          <w:sz w:val="24"/>
          <w:szCs w:val="24"/>
        </w:rPr>
        <w:t>menclature utilisée est disponible dans le fichier « Diplome_Formation_2015_V2_Dictionnaire ».</w:t>
      </w:r>
    </w:p>
    <w:p w:rsidR="00D705D0" w:rsidRDefault="00D705D0" w:rsidP="00D705D0">
      <w:pPr>
        <w:spacing w:after="0" w:line="240" w:lineRule="auto"/>
        <w:jc w:val="both"/>
        <w:rPr>
          <w:sz w:val="24"/>
          <w:szCs w:val="24"/>
        </w:rPr>
      </w:pPr>
    </w:p>
    <w:p w:rsidR="00D705D0" w:rsidRDefault="00D705D0" w:rsidP="006D750D">
      <w:pPr>
        <w:spacing w:after="0" w:line="240" w:lineRule="auto"/>
        <w:jc w:val="both"/>
        <w:rPr>
          <w:sz w:val="24"/>
          <w:szCs w:val="24"/>
        </w:rPr>
      </w:pPr>
    </w:p>
    <w:p w:rsidR="006D750D" w:rsidRDefault="006D750D" w:rsidP="006D750D">
      <w:pPr>
        <w:spacing w:after="0" w:line="240" w:lineRule="auto"/>
        <w:jc w:val="both"/>
        <w:rPr>
          <w:sz w:val="24"/>
          <w:szCs w:val="24"/>
        </w:rPr>
      </w:pPr>
    </w:p>
    <w:p w:rsidR="006D750D" w:rsidRDefault="006D750D" w:rsidP="001F6D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0E5D17" w:rsidRDefault="000E5D17" w:rsidP="001F6D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A91BEE" w:rsidRDefault="00A91BEE" w:rsidP="001F6D2D">
      <w:pPr>
        <w:spacing w:after="0" w:line="240" w:lineRule="auto"/>
        <w:jc w:val="both"/>
        <w:rPr>
          <w:sz w:val="24"/>
          <w:szCs w:val="24"/>
        </w:rPr>
      </w:pPr>
    </w:p>
    <w:p w:rsidR="00C27015" w:rsidRDefault="00C27015" w:rsidP="00F83D40">
      <w:pPr>
        <w:spacing w:after="0" w:line="240" w:lineRule="auto"/>
        <w:jc w:val="both"/>
        <w:rPr>
          <w:sz w:val="24"/>
          <w:szCs w:val="24"/>
        </w:rPr>
      </w:pPr>
    </w:p>
    <w:p w:rsidR="00DE480C" w:rsidRDefault="00DE480C" w:rsidP="00E84A85">
      <w:pPr>
        <w:spacing w:after="0" w:line="240" w:lineRule="auto"/>
        <w:jc w:val="both"/>
        <w:rPr>
          <w:sz w:val="24"/>
          <w:szCs w:val="24"/>
        </w:rPr>
      </w:pPr>
    </w:p>
    <w:p w:rsidR="00922B4E" w:rsidRDefault="00922B4E" w:rsidP="00E84A85">
      <w:pPr>
        <w:spacing w:after="0" w:line="240" w:lineRule="auto"/>
        <w:jc w:val="both"/>
        <w:rPr>
          <w:sz w:val="24"/>
          <w:szCs w:val="24"/>
        </w:rPr>
      </w:pPr>
    </w:p>
    <w:p w:rsidR="00922B4E" w:rsidRDefault="00922B4E" w:rsidP="00E84A85">
      <w:pPr>
        <w:spacing w:after="0" w:line="240" w:lineRule="auto"/>
        <w:jc w:val="both"/>
        <w:rPr>
          <w:sz w:val="24"/>
          <w:szCs w:val="24"/>
        </w:rPr>
      </w:pPr>
    </w:p>
    <w:p w:rsidR="00DE480C" w:rsidRPr="00E84A85" w:rsidRDefault="00DE480C" w:rsidP="00E84A85">
      <w:pPr>
        <w:spacing w:after="0" w:line="240" w:lineRule="auto"/>
        <w:jc w:val="both"/>
        <w:rPr>
          <w:sz w:val="24"/>
          <w:szCs w:val="24"/>
        </w:rPr>
      </w:pPr>
    </w:p>
    <w:p w:rsidR="00D02CAD" w:rsidRPr="00D02CAD" w:rsidRDefault="00D02CAD" w:rsidP="00D02CAD">
      <w:pPr>
        <w:jc w:val="both"/>
        <w:rPr>
          <w:rFonts w:cs="Times New Roman"/>
          <w:sz w:val="24"/>
          <w:szCs w:val="24"/>
        </w:rPr>
      </w:pPr>
    </w:p>
    <w:p w:rsidR="00D02CAD" w:rsidRDefault="00D02CAD" w:rsidP="00A91BEE">
      <w:pPr>
        <w:spacing w:after="0" w:line="240" w:lineRule="auto"/>
        <w:jc w:val="both"/>
        <w:rPr>
          <w:sz w:val="24"/>
          <w:szCs w:val="24"/>
        </w:rPr>
      </w:pPr>
    </w:p>
    <w:p w:rsidR="00A91BEE" w:rsidRPr="00367971" w:rsidRDefault="00A91BEE" w:rsidP="001F6D2D">
      <w:pPr>
        <w:spacing w:after="0" w:line="240" w:lineRule="auto"/>
        <w:jc w:val="both"/>
        <w:rPr>
          <w:sz w:val="24"/>
          <w:szCs w:val="24"/>
        </w:rPr>
      </w:pPr>
    </w:p>
    <w:p w:rsidR="00A4137B" w:rsidRDefault="00A4137B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137B" w:rsidRDefault="00A4137B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137B" w:rsidRDefault="00A4137B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137B" w:rsidRDefault="00A4137B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137B" w:rsidRPr="00E31E34" w:rsidRDefault="00A4137B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6C63" w:rsidRPr="009D7347" w:rsidRDefault="00116C63" w:rsidP="00974DA2">
      <w:pPr>
        <w:jc w:val="both"/>
        <w:rPr>
          <w:rFonts w:cs="Times New Roman"/>
          <w:i/>
          <w:sz w:val="24"/>
          <w:szCs w:val="24"/>
        </w:rPr>
      </w:pPr>
    </w:p>
    <w:sectPr w:rsidR="00116C63" w:rsidRPr="009D7347" w:rsidSect="00AA6A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76" w:rsidRDefault="00C46B76" w:rsidP="005848C9">
      <w:pPr>
        <w:spacing w:after="0" w:line="240" w:lineRule="auto"/>
      </w:pPr>
      <w:r>
        <w:separator/>
      </w:r>
    </w:p>
  </w:endnote>
  <w:endnote w:type="continuationSeparator" w:id="0">
    <w:p w:rsidR="00C46B76" w:rsidRDefault="00C46B76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7"/>
      <w:docPartObj>
        <w:docPartGallery w:val="Page Numbers (Bottom of Page)"/>
        <w:docPartUnique/>
      </w:docPartObj>
    </w:sdtPr>
    <w:sdtContent>
      <w:p w:rsidR="00C46B76" w:rsidRDefault="001C132C">
        <w:pPr>
          <w:pStyle w:val="Pieddepage"/>
          <w:jc w:val="right"/>
        </w:pPr>
        <w:fldSimple w:instr=" PAGE   \* MERGEFORMAT ">
          <w:r w:rsidR="00AC276E">
            <w:rPr>
              <w:noProof/>
            </w:rPr>
            <w:t>2</w:t>
          </w:r>
        </w:fldSimple>
      </w:p>
    </w:sdtContent>
  </w:sdt>
  <w:p w:rsidR="00C46B76" w:rsidRDefault="00C46B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6"/>
      <w:docPartObj>
        <w:docPartGallery w:val="Page Numbers (Bottom of Page)"/>
        <w:docPartUnique/>
      </w:docPartObj>
    </w:sdtPr>
    <w:sdtContent>
      <w:p w:rsidR="00C46B76" w:rsidRDefault="001C132C">
        <w:pPr>
          <w:pStyle w:val="Pieddepage"/>
          <w:jc w:val="right"/>
        </w:pPr>
        <w:fldSimple w:instr=" PAGE   \* MERGEFORMAT ">
          <w:r w:rsidR="00AC276E">
            <w:rPr>
              <w:noProof/>
            </w:rPr>
            <w:t>1</w:t>
          </w:r>
        </w:fldSimple>
      </w:p>
    </w:sdtContent>
  </w:sdt>
  <w:p w:rsidR="00C46B76" w:rsidRDefault="00C46B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76" w:rsidRDefault="00C46B76" w:rsidP="005848C9">
      <w:pPr>
        <w:spacing w:after="0" w:line="240" w:lineRule="auto"/>
      </w:pPr>
      <w:r>
        <w:separator/>
      </w:r>
    </w:p>
  </w:footnote>
  <w:footnote w:type="continuationSeparator" w:id="0">
    <w:p w:rsidR="00C46B76" w:rsidRDefault="00C46B76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C46B76" w:rsidP="00013E83">
    <w:pPr>
      <w:pStyle w:val="Pieddepage"/>
      <w:jc w:val="right"/>
    </w:pPr>
    <w:r>
      <w:rPr>
        <w:sz w:val="24"/>
        <w:szCs w:val="24"/>
      </w:rPr>
      <w:t>Diplome_Formation_2015</w:t>
    </w:r>
    <w:r>
      <w:t>- V2</w:t>
    </w:r>
  </w:p>
  <w:p w:rsidR="00C46B76" w:rsidRPr="00847EA8" w:rsidRDefault="00C46B76" w:rsidP="00013E8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05/10/2016</w:t>
    </w:r>
  </w:p>
  <w:p w:rsidR="00C46B76" w:rsidRDefault="00C46B76" w:rsidP="00013E83">
    <w:pPr>
      <w:pStyle w:val="Pieddepag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C46B76" w:rsidP="0064504E">
    <w:pPr>
      <w:pStyle w:val="Pieddepage"/>
      <w:jc w:val="right"/>
    </w:pPr>
    <w:r w:rsidRPr="00847EA8">
      <w:rPr>
        <w:b/>
        <w:i/>
        <w:sz w:val="24"/>
        <w:szCs w:val="24"/>
      </w:rPr>
      <w:t xml:space="preserve"> </w:t>
    </w:r>
    <w:r>
      <w:t>Diplome_Formation_2015- V2</w:t>
    </w:r>
  </w:p>
  <w:p w:rsidR="00C46B76" w:rsidRPr="00847EA8" w:rsidRDefault="00C46B76" w:rsidP="0064504E">
    <w:pPr>
      <w:pStyle w:val="En-tte"/>
      <w:jc w:val="right"/>
      <w:rPr>
        <w:sz w:val="24"/>
        <w:szCs w:val="24"/>
      </w:rPr>
    </w:pPr>
    <w:r w:rsidRPr="002E6294"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-110268</wp:posOffset>
          </wp:positionV>
          <wp:extent cx="1543936" cy="414669"/>
          <wp:effectExtent l="19050" t="0" r="0" b="0"/>
          <wp:wrapNone/>
          <wp:docPr id="9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05/10/2016</w:t>
    </w:r>
  </w:p>
  <w:p w:rsidR="00C46B76" w:rsidRDefault="00C46B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2D"/>
    <w:multiLevelType w:val="hybridMultilevel"/>
    <w:tmpl w:val="7E76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9E3"/>
    <w:multiLevelType w:val="hybridMultilevel"/>
    <w:tmpl w:val="81A8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4302"/>
    <w:multiLevelType w:val="hybridMultilevel"/>
    <w:tmpl w:val="93C68330"/>
    <w:lvl w:ilvl="0" w:tplc="7C0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74A"/>
    <w:multiLevelType w:val="hybridMultilevel"/>
    <w:tmpl w:val="8D86EDE2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DCF"/>
    <w:multiLevelType w:val="multilevel"/>
    <w:tmpl w:val="E64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3390E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4521"/>
    <w:multiLevelType w:val="hybridMultilevel"/>
    <w:tmpl w:val="A118999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5FF2"/>
    <w:multiLevelType w:val="hybridMultilevel"/>
    <w:tmpl w:val="1E66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178EB"/>
    <w:multiLevelType w:val="hybridMultilevel"/>
    <w:tmpl w:val="2C1C9B5E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732B"/>
    <w:multiLevelType w:val="hybridMultilevel"/>
    <w:tmpl w:val="14FA140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031B"/>
    <w:multiLevelType w:val="hybridMultilevel"/>
    <w:tmpl w:val="DB6C5DD4"/>
    <w:lvl w:ilvl="0" w:tplc="DF428BB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7CBF"/>
    <w:multiLevelType w:val="hybridMultilevel"/>
    <w:tmpl w:val="F82C3FE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15BD6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4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031A4"/>
    <w:rsid w:val="00013336"/>
    <w:rsid w:val="00013E83"/>
    <w:rsid w:val="00013EF4"/>
    <w:rsid w:val="0003687C"/>
    <w:rsid w:val="0004008E"/>
    <w:rsid w:val="000A0DF8"/>
    <w:rsid w:val="000A1366"/>
    <w:rsid w:val="000B2DBC"/>
    <w:rsid w:val="000C01E1"/>
    <w:rsid w:val="000D3BA0"/>
    <w:rsid w:val="000D4923"/>
    <w:rsid w:val="000E0260"/>
    <w:rsid w:val="000E5D17"/>
    <w:rsid w:val="000F3758"/>
    <w:rsid w:val="00116C63"/>
    <w:rsid w:val="001318A9"/>
    <w:rsid w:val="001632E3"/>
    <w:rsid w:val="001C132C"/>
    <w:rsid w:val="001F6D2D"/>
    <w:rsid w:val="00252D0D"/>
    <w:rsid w:val="0029082F"/>
    <w:rsid w:val="002E4BE0"/>
    <w:rsid w:val="002E6294"/>
    <w:rsid w:val="003075F2"/>
    <w:rsid w:val="00323FEC"/>
    <w:rsid w:val="00340E8F"/>
    <w:rsid w:val="00367971"/>
    <w:rsid w:val="00373CE9"/>
    <w:rsid w:val="003769E2"/>
    <w:rsid w:val="003C3D27"/>
    <w:rsid w:val="003F7CA0"/>
    <w:rsid w:val="00400EED"/>
    <w:rsid w:val="004156FD"/>
    <w:rsid w:val="004240B7"/>
    <w:rsid w:val="00437668"/>
    <w:rsid w:val="004628DE"/>
    <w:rsid w:val="00463B2D"/>
    <w:rsid w:val="00473057"/>
    <w:rsid w:val="004909B2"/>
    <w:rsid w:val="004B677E"/>
    <w:rsid w:val="004C5F26"/>
    <w:rsid w:val="004D1525"/>
    <w:rsid w:val="004D4732"/>
    <w:rsid w:val="004E247C"/>
    <w:rsid w:val="005221DC"/>
    <w:rsid w:val="005244D8"/>
    <w:rsid w:val="00543D0E"/>
    <w:rsid w:val="00553210"/>
    <w:rsid w:val="00555706"/>
    <w:rsid w:val="005848C9"/>
    <w:rsid w:val="005D3FCC"/>
    <w:rsid w:val="005F6301"/>
    <w:rsid w:val="00627CEA"/>
    <w:rsid w:val="0063251C"/>
    <w:rsid w:val="0064504E"/>
    <w:rsid w:val="006462EB"/>
    <w:rsid w:val="00652E45"/>
    <w:rsid w:val="0065380B"/>
    <w:rsid w:val="00655129"/>
    <w:rsid w:val="006D750D"/>
    <w:rsid w:val="007351C4"/>
    <w:rsid w:val="0075112E"/>
    <w:rsid w:val="00783563"/>
    <w:rsid w:val="007A4ED8"/>
    <w:rsid w:val="007C5185"/>
    <w:rsid w:val="007D4C5D"/>
    <w:rsid w:val="00807067"/>
    <w:rsid w:val="008266C9"/>
    <w:rsid w:val="00834781"/>
    <w:rsid w:val="00850A3B"/>
    <w:rsid w:val="00851B9F"/>
    <w:rsid w:val="00877544"/>
    <w:rsid w:val="00907183"/>
    <w:rsid w:val="00922B4E"/>
    <w:rsid w:val="00930469"/>
    <w:rsid w:val="00933008"/>
    <w:rsid w:val="00936765"/>
    <w:rsid w:val="00945A5A"/>
    <w:rsid w:val="0094686B"/>
    <w:rsid w:val="00953808"/>
    <w:rsid w:val="0096250B"/>
    <w:rsid w:val="00967653"/>
    <w:rsid w:val="00974DA2"/>
    <w:rsid w:val="009776A3"/>
    <w:rsid w:val="00982E76"/>
    <w:rsid w:val="009873AF"/>
    <w:rsid w:val="009B0C58"/>
    <w:rsid w:val="009B69D4"/>
    <w:rsid w:val="009C6DB7"/>
    <w:rsid w:val="009D7347"/>
    <w:rsid w:val="009F079A"/>
    <w:rsid w:val="00A36548"/>
    <w:rsid w:val="00A4137B"/>
    <w:rsid w:val="00A718CC"/>
    <w:rsid w:val="00A74411"/>
    <w:rsid w:val="00A75716"/>
    <w:rsid w:val="00A91BEE"/>
    <w:rsid w:val="00AA6AB8"/>
    <w:rsid w:val="00AB4BC5"/>
    <w:rsid w:val="00AC276E"/>
    <w:rsid w:val="00AD1393"/>
    <w:rsid w:val="00B13D0D"/>
    <w:rsid w:val="00B14874"/>
    <w:rsid w:val="00B4205B"/>
    <w:rsid w:val="00B650E7"/>
    <w:rsid w:val="00B827D4"/>
    <w:rsid w:val="00B84E42"/>
    <w:rsid w:val="00BB2F6C"/>
    <w:rsid w:val="00BB71D5"/>
    <w:rsid w:val="00BC381F"/>
    <w:rsid w:val="00C04291"/>
    <w:rsid w:val="00C27015"/>
    <w:rsid w:val="00C27C8B"/>
    <w:rsid w:val="00C44C1E"/>
    <w:rsid w:val="00C46B76"/>
    <w:rsid w:val="00C75C0B"/>
    <w:rsid w:val="00CA20B4"/>
    <w:rsid w:val="00CA2440"/>
    <w:rsid w:val="00CA41E1"/>
    <w:rsid w:val="00CB3522"/>
    <w:rsid w:val="00CC5559"/>
    <w:rsid w:val="00CC7302"/>
    <w:rsid w:val="00CD737B"/>
    <w:rsid w:val="00CF6463"/>
    <w:rsid w:val="00D012D3"/>
    <w:rsid w:val="00D029B8"/>
    <w:rsid w:val="00D02CAD"/>
    <w:rsid w:val="00D04BF7"/>
    <w:rsid w:val="00D15FCF"/>
    <w:rsid w:val="00D310F2"/>
    <w:rsid w:val="00D705D0"/>
    <w:rsid w:val="00DA37A3"/>
    <w:rsid w:val="00DE480C"/>
    <w:rsid w:val="00E00B6C"/>
    <w:rsid w:val="00E17575"/>
    <w:rsid w:val="00E22DF2"/>
    <w:rsid w:val="00E25DAC"/>
    <w:rsid w:val="00E27D44"/>
    <w:rsid w:val="00E31E34"/>
    <w:rsid w:val="00E51993"/>
    <w:rsid w:val="00E550C6"/>
    <w:rsid w:val="00E75398"/>
    <w:rsid w:val="00E84A85"/>
    <w:rsid w:val="00E9133B"/>
    <w:rsid w:val="00EB6235"/>
    <w:rsid w:val="00ED6A15"/>
    <w:rsid w:val="00EF059C"/>
    <w:rsid w:val="00F1731C"/>
    <w:rsid w:val="00F20668"/>
    <w:rsid w:val="00F22F7A"/>
    <w:rsid w:val="00F83D40"/>
    <w:rsid w:val="00FD1A54"/>
    <w:rsid w:val="00FD5C45"/>
    <w:rsid w:val="00FE345D"/>
    <w:rsid w:val="00FF3B69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63B2D"/>
    <w:rPr>
      <w:b/>
      <w:bCs/>
    </w:rPr>
  </w:style>
  <w:style w:type="character" w:styleId="Lienhypertexte">
    <w:name w:val="Hyperlink"/>
    <w:basedOn w:val="Policepardfaut"/>
    <w:uiPriority w:val="99"/>
    <w:unhideWhenUsed/>
    <w:rsid w:val="003C3D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7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B827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1318&amp;idArticle=LEGIARTI000006547568&amp;dateTexte=&amp;categorieLien=c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s.gouv.fr/emplois-metiers/decouvrir-nos-offres-de-formations/Guide-pratique-Les-metiers-et-les-diplomes-professionnels-relevant-du-spo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orts.gouv.fr/emplois-metiers/decouvrir-nos-offres-de-formations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06071191&amp;idArticle=LEGIARTI000006524831&amp;dateTexte=&amp;categorieLien=ci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B330-BE7F-41B9-B17F-750BEBA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DELABRUSSEJ</dc:creator>
  <cp:lastModifiedBy>DELABRUSSEJ</cp:lastModifiedBy>
  <cp:revision>33</cp:revision>
  <dcterms:created xsi:type="dcterms:W3CDTF">2016-09-05T16:01:00Z</dcterms:created>
  <dcterms:modified xsi:type="dcterms:W3CDTF">2016-10-05T14:01:00Z</dcterms:modified>
</cp:coreProperties>
</file>