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435"/>
        <w:gridCol w:w="2268"/>
        <w:gridCol w:w="2468"/>
      </w:tblGrid>
      <w:tr w:rsidR="00984465" w:rsidTr="00984465">
        <w:tc>
          <w:tcPr>
            <w:tcW w:w="2351" w:type="dxa"/>
            <w:vAlign w:val="center"/>
          </w:tcPr>
          <w:p w:rsidR="00984465" w:rsidRDefault="00984465" w:rsidP="00F94B70">
            <w:pPr>
              <w:jc w:val="center"/>
              <w:rPr>
                <w:rFonts w:ascii="TradeGothic LT" w:hAnsi="TradeGothic LT"/>
                <w:b/>
                <w:sz w:val="16"/>
                <w:szCs w:val="16"/>
              </w:rPr>
            </w:pPr>
            <w:r>
              <w:rPr>
                <w:rFonts w:ascii="TradeGothic LT" w:hAnsi="TradeGothic LT"/>
                <w:b/>
                <w:noProof/>
                <w:sz w:val="16"/>
                <w:szCs w:val="16"/>
              </w:rPr>
              <w:drawing>
                <wp:inline distT="0" distB="0" distL="0" distR="0" wp14:anchorId="736A5279" wp14:editId="50EAEFB8">
                  <wp:extent cx="556618" cy="684000"/>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618" cy="684000"/>
                          </a:xfrm>
                          <a:prstGeom prst="rect">
                            <a:avLst/>
                          </a:prstGeom>
                          <a:noFill/>
                        </pic:spPr>
                      </pic:pic>
                    </a:graphicData>
                  </a:graphic>
                </wp:inline>
              </w:drawing>
            </w:r>
          </w:p>
        </w:tc>
        <w:tc>
          <w:tcPr>
            <w:tcW w:w="2435" w:type="dxa"/>
            <w:vAlign w:val="center"/>
          </w:tcPr>
          <w:p w:rsidR="00984465" w:rsidRDefault="00984465" w:rsidP="00F94B70">
            <w:pPr>
              <w:jc w:val="center"/>
              <w:rPr>
                <w:rFonts w:ascii="TradeGothic LT" w:hAnsi="TradeGothic LT"/>
                <w:b/>
                <w:sz w:val="16"/>
                <w:szCs w:val="16"/>
              </w:rPr>
            </w:pPr>
            <w:r>
              <w:rPr>
                <w:rFonts w:ascii="TradeGothic LT" w:hAnsi="TradeGothic LT"/>
                <w:b/>
                <w:noProof/>
                <w:sz w:val="16"/>
                <w:szCs w:val="16"/>
              </w:rPr>
              <w:drawing>
                <wp:inline distT="0" distB="0" distL="0" distR="0" wp14:anchorId="5FFB3C89" wp14:editId="444E33AE">
                  <wp:extent cx="579120" cy="5143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b="15625"/>
                          <a:stretch/>
                        </pic:blipFill>
                        <pic:spPr bwMode="auto">
                          <a:xfrm>
                            <a:off x="0" y="0"/>
                            <a:ext cx="579120"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vAlign w:val="center"/>
          </w:tcPr>
          <w:p w:rsidR="00984465" w:rsidRDefault="00984465" w:rsidP="00F94B70">
            <w:pPr>
              <w:jc w:val="center"/>
              <w:rPr>
                <w:rFonts w:ascii="TradeGothic LT" w:hAnsi="TradeGothic LT"/>
                <w:b/>
                <w:sz w:val="16"/>
                <w:szCs w:val="16"/>
              </w:rPr>
            </w:pPr>
            <w:r>
              <w:rPr>
                <w:rFonts w:ascii="TradeGothic LT" w:hAnsi="TradeGothic LT"/>
                <w:b/>
                <w:noProof/>
                <w:sz w:val="16"/>
                <w:szCs w:val="16"/>
              </w:rPr>
              <w:drawing>
                <wp:inline distT="0" distB="0" distL="0" distR="0" wp14:anchorId="072160DF" wp14:editId="268E0981">
                  <wp:extent cx="670560" cy="71945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719455"/>
                          </a:xfrm>
                          <a:prstGeom prst="rect">
                            <a:avLst/>
                          </a:prstGeom>
                          <a:noFill/>
                        </pic:spPr>
                      </pic:pic>
                    </a:graphicData>
                  </a:graphic>
                </wp:inline>
              </w:drawing>
            </w:r>
          </w:p>
        </w:tc>
        <w:tc>
          <w:tcPr>
            <w:tcW w:w="2468" w:type="dxa"/>
          </w:tcPr>
          <w:p w:rsidR="00984465" w:rsidRDefault="00984465" w:rsidP="00F94B70">
            <w:pPr>
              <w:jc w:val="center"/>
              <w:rPr>
                <w:rFonts w:ascii="TradeGothic LT" w:hAnsi="TradeGothic LT"/>
                <w:b/>
                <w:noProof/>
                <w:sz w:val="16"/>
                <w:szCs w:val="16"/>
              </w:rPr>
            </w:pPr>
            <w:r>
              <w:rPr>
                <w:noProof/>
                <w:color w:val="51BE75"/>
                <w:bdr w:val="none" w:sz="0" w:space="0" w:color="auto" w:frame="1"/>
              </w:rPr>
              <w:drawing>
                <wp:inline distT="0" distB="0" distL="0" distR="0" wp14:anchorId="320F6013" wp14:editId="12E573F3">
                  <wp:extent cx="648000" cy="648000"/>
                  <wp:effectExtent l="0" t="0" r="0" b="0"/>
                  <wp:docPr id="1" name="Image 1" descr="http://www.architectes.org/logo-cnoa-web.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tectes.org/logo-cnoa-web.png">
                            <a:hlinkClick r:id=""/>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r w:rsidR="00984465" w:rsidRPr="00984465" w:rsidTr="00984465">
        <w:tc>
          <w:tcPr>
            <w:tcW w:w="2351" w:type="dxa"/>
          </w:tcPr>
          <w:p w:rsidR="00984465" w:rsidRPr="00984465" w:rsidRDefault="00984465" w:rsidP="00F94B70">
            <w:pPr>
              <w:jc w:val="center"/>
              <w:rPr>
                <w:rFonts w:ascii="TradeGothic LT" w:hAnsi="TradeGothic LT"/>
                <w:b/>
                <w:sz w:val="14"/>
                <w:szCs w:val="14"/>
              </w:rPr>
            </w:pPr>
            <w:r w:rsidRPr="00984465">
              <w:rPr>
                <w:rFonts w:ascii="TradeGothic LT" w:hAnsi="TradeGothic LT"/>
                <w:b/>
                <w:sz w:val="14"/>
                <w:szCs w:val="14"/>
              </w:rPr>
              <w:t>CONSEIL GENERAL DE L’OISE</w:t>
            </w:r>
          </w:p>
          <w:p w:rsidR="00984465" w:rsidRPr="00984465" w:rsidRDefault="00984465" w:rsidP="00F94B70">
            <w:pPr>
              <w:jc w:val="center"/>
              <w:rPr>
                <w:rFonts w:ascii="TradeGothic LT" w:hAnsi="TradeGothic LT"/>
                <w:sz w:val="14"/>
                <w:szCs w:val="14"/>
              </w:rPr>
            </w:pPr>
          </w:p>
        </w:tc>
        <w:tc>
          <w:tcPr>
            <w:tcW w:w="2435" w:type="dxa"/>
          </w:tcPr>
          <w:p w:rsidR="00984465" w:rsidRPr="00984465" w:rsidRDefault="00984465" w:rsidP="00F94B70">
            <w:pPr>
              <w:jc w:val="center"/>
              <w:rPr>
                <w:rFonts w:ascii="TradeGothic LT" w:hAnsi="TradeGothic LT"/>
                <w:b/>
                <w:sz w:val="14"/>
                <w:szCs w:val="14"/>
              </w:rPr>
            </w:pPr>
            <w:r w:rsidRPr="00984465">
              <w:rPr>
                <w:rFonts w:ascii="TradeGothic LT" w:hAnsi="TradeGothic LT"/>
                <w:b/>
                <w:sz w:val="14"/>
                <w:szCs w:val="14"/>
              </w:rPr>
              <w:t>AGENCE DEPARTEMENTALE D'INFORMATION SUR LE LOGEMENT DE L’OISE</w:t>
            </w:r>
          </w:p>
        </w:tc>
        <w:tc>
          <w:tcPr>
            <w:tcW w:w="2268" w:type="dxa"/>
          </w:tcPr>
          <w:p w:rsidR="00984465" w:rsidRPr="00984465" w:rsidRDefault="00984465" w:rsidP="00074459">
            <w:pPr>
              <w:jc w:val="center"/>
              <w:rPr>
                <w:rFonts w:ascii="TradeGothic LT" w:hAnsi="TradeGothic LT"/>
                <w:b/>
                <w:sz w:val="14"/>
                <w:szCs w:val="14"/>
              </w:rPr>
            </w:pPr>
            <w:r w:rsidRPr="00984465">
              <w:rPr>
                <w:rFonts w:ascii="TradeGothic LT" w:hAnsi="TradeGothic LT"/>
                <w:b/>
                <w:sz w:val="14"/>
                <w:szCs w:val="14"/>
              </w:rPr>
              <w:t>CONSEIL D'ARCHITECTURE, D'URBANISME ET DE L'ENVIRONNEMENT DE L’OISE</w:t>
            </w:r>
          </w:p>
        </w:tc>
        <w:tc>
          <w:tcPr>
            <w:tcW w:w="2468" w:type="dxa"/>
          </w:tcPr>
          <w:p w:rsidR="00984465" w:rsidRPr="00984465" w:rsidRDefault="00984465" w:rsidP="00871FB4">
            <w:pPr>
              <w:jc w:val="center"/>
              <w:rPr>
                <w:rFonts w:ascii="TradeGothic LT" w:hAnsi="TradeGothic LT"/>
                <w:b/>
                <w:sz w:val="14"/>
                <w:szCs w:val="14"/>
              </w:rPr>
            </w:pPr>
            <w:r w:rsidRPr="00984465">
              <w:rPr>
                <w:rFonts w:ascii="TradeGothic LT" w:hAnsi="TradeGothic LT"/>
                <w:b/>
                <w:sz w:val="14"/>
                <w:szCs w:val="14"/>
              </w:rPr>
              <w:t xml:space="preserve">CONSEIL </w:t>
            </w:r>
            <w:r>
              <w:rPr>
                <w:rFonts w:ascii="TradeGothic LT" w:hAnsi="TradeGothic LT"/>
                <w:b/>
                <w:sz w:val="14"/>
                <w:szCs w:val="14"/>
              </w:rPr>
              <w:t>REGIONAL DE L’ORDRE DES ARCHITECTES</w:t>
            </w:r>
            <w:r w:rsidR="00731E91">
              <w:rPr>
                <w:rFonts w:ascii="TradeGothic LT" w:hAnsi="TradeGothic LT"/>
                <w:b/>
                <w:sz w:val="14"/>
                <w:szCs w:val="14"/>
              </w:rPr>
              <w:t xml:space="preserve"> DE PICARDIE</w:t>
            </w:r>
          </w:p>
        </w:tc>
      </w:tr>
    </w:tbl>
    <w:p w:rsidR="00AC2EFE" w:rsidRDefault="00AC2EFE" w:rsidP="00AC2EFE">
      <w:pPr>
        <w:rPr>
          <w:rFonts w:ascii="TradeGothic LT" w:hAnsi="TradeGothic LT"/>
          <w:b/>
          <w:sz w:val="16"/>
          <w:szCs w:val="16"/>
        </w:rPr>
      </w:pPr>
    </w:p>
    <w:p w:rsidR="00B71A9A" w:rsidRDefault="00B71A9A" w:rsidP="00AC2EFE">
      <w:pPr>
        <w:rPr>
          <w:rFonts w:ascii="TradeGothic LT" w:hAnsi="TradeGothic LT"/>
          <w:b/>
          <w:sz w:val="16"/>
          <w:szCs w:val="16"/>
        </w:rPr>
      </w:pPr>
    </w:p>
    <w:p w:rsidR="00F94B70" w:rsidRDefault="00F94B70" w:rsidP="00AC2EFE">
      <w:pPr>
        <w:rPr>
          <w:rFonts w:ascii="TradeGothic LT" w:hAnsi="TradeGothic LT"/>
          <w:b/>
          <w:sz w:val="16"/>
          <w:szCs w:val="16"/>
        </w:rPr>
      </w:pPr>
    </w:p>
    <w:tbl>
      <w:tblPr>
        <w:tblStyle w:val="Grilledutableau"/>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2544"/>
      </w:tblGrid>
      <w:tr w:rsidR="00F94B70" w:rsidTr="009E5F58">
        <w:tc>
          <w:tcPr>
            <w:tcW w:w="6742" w:type="dxa"/>
          </w:tcPr>
          <w:p w:rsidR="009E5F58" w:rsidRPr="009E5F58" w:rsidRDefault="001C1C1A" w:rsidP="00F94B70">
            <w:pPr>
              <w:rPr>
                <w:rFonts w:ascii="TradeGothic LT" w:hAnsi="TradeGothic LT"/>
                <w:b/>
                <w:sz w:val="18"/>
                <w:szCs w:val="18"/>
              </w:rPr>
            </w:pPr>
            <w:r w:rsidRPr="009E5F58">
              <w:rPr>
                <w:rFonts w:ascii="TradeGothic LT" w:hAnsi="TradeGothic LT"/>
                <w:b/>
                <w:sz w:val="18"/>
                <w:szCs w:val="18"/>
              </w:rPr>
              <w:t>Réservation </w:t>
            </w:r>
            <w:r w:rsidR="009E5F58" w:rsidRPr="009E5F58">
              <w:rPr>
                <w:rFonts w:ascii="TradeGothic LT" w:hAnsi="TradeGothic LT"/>
                <w:b/>
                <w:sz w:val="18"/>
                <w:szCs w:val="18"/>
              </w:rPr>
              <w:t xml:space="preserve">auprès du </w:t>
            </w:r>
            <w:r w:rsidRPr="009E5F58">
              <w:rPr>
                <w:rFonts w:ascii="TradeGothic LT" w:hAnsi="TradeGothic LT"/>
                <w:b/>
                <w:sz w:val="18"/>
                <w:szCs w:val="18"/>
              </w:rPr>
              <w:t>:</w:t>
            </w:r>
          </w:p>
          <w:p w:rsidR="009E5F58" w:rsidRPr="009E5F58" w:rsidRDefault="009E5F58" w:rsidP="009E5F58">
            <w:pPr>
              <w:rPr>
                <w:rFonts w:ascii="TradeGothic LT" w:hAnsi="TradeGothic LT"/>
                <w:sz w:val="18"/>
                <w:szCs w:val="18"/>
              </w:rPr>
            </w:pPr>
            <w:r w:rsidRPr="009E5F58">
              <w:rPr>
                <w:rFonts w:ascii="TradeGothic LT" w:hAnsi="TradeGothic LT"/>
                <w:sz w:val="18"/>
                <w:szCs w:val="18"/>
              </w:rPr>
              <w:t>Pôle développement des territoires et environnement</w:t>
            </w:r>
            <w:r>
              <w:rPr>
                <w:rFonts w:ascii="TradeGothic LT" w:hAnsi="TradeGothic LT"/>
                <w:sz w:val="18"/>
                <w:szCs w:val="18"/>
              </w:rPr>
              <w:t xml:space="preserve"> du CG60</w:t>
            </w:r>
          </w:p>
          <w:p w:rsidR="001C1C1A" w:rsidRDefault="009E5F58" w:rsidP="009E5F58">
            <w:pPr>
              <w:rPr>
                <w:rFonts w:ascii="TradeGothic LT" w:hAnsi="TradeGothic LT"/>
                <w:sz w:val="18"/>
                <w:szCs w:val="18"/>
              </w:rPr>
            </w:pPr>
            <w:r w:rsidRPr="009E5F58">
              <w:rPr>
                <w:rFonts w:ascii="TradeGothic LT" w:hAnsi="TradeGothic LT"/>
                <w:sz w:val="18"/>
                <w:szCs w:val="18"/>
              </w:rPr>
              <w:t xml:space="preserve">Direction-adjointe du logement, de la politique de la ville et de l’habitat </w:t>
            </w:r>
            <w:hyperlink r:id="rId13" w:history="1">
              <w:r w:rsidR="001C1C1A" w:rsidRPr="00102083">
                <w:rPr>
                  <w:rStyle w:val="Lienhypertexte"/>
                  <w:rFonts w:ascii="TradeGothic LT" w:hAnsi="TradeGothic LT"/>
                  <w:sz w:val="18"/>
                  <w:szCs w:val="18"/>
                </w:rPr>
                <w:t>laurence.brasseur@cg60.fr</w:t>
              </w:r>
            </w:hyperlink>
          </w:p>
          <w:p w:rsidR="009E5F58" w:rsidRDefault="009E5F58" w:rsidP="00F94B70">
            <w:pPr>
              <w:rPr>
                <w:rFonts w:ascii="TradeGothic LT" w:hAnsi="TradeGothic LT"/>
                <w:sz w:val="18"/>
                <w:szCs w:val="18"/>
              </w:rPr>
            </w:pPr>
            <w:r>
              <w:rPr>
                <w:rFonts w:ascii="TradeGothic LT" w:hAnsi="TradeGothic LT"/>
                <w:sz w:val="18"/>
                <w:szCs w:val="18"/>
              </w:rPr>
              <w:t>03.44.10.62.91</w:t>
            </w:r>
          </w:p>
          <w:p w:rsidR="001C1C1A" w:rsidRDefault="001C1C1A" w:rsidP="00F94B70">
            <w:pPr>
              <w:rPr>
                <w:rFonts w:ascii="TradeGothic LT" w:hAnsi="TradeGothic LT"/>
                <w:b/>
                <w:sz w:val="16"/>
                <w:szCs w:val="16"/>
              </w:rPr>
            </w:pPr>
          </w:p>
        </w:tc>
        <w:tc>
          <w:tcPr>
            <w:tcW w:w="2544" w:type="dxa"/>
          </w:tcPr>
          <w:p w:rsidR="00F94B70" w:rsidRPr="001071E6" w:rsidRDefault="001071E6" w:rsidP="00CE141A">
            <w:pPr>
              <w:jc w:val="center"/>
              <w:rPr>
                <w:rFonts w:ascii="TradeGothic LT" w:hAnsi="TradeGothic LT"/>
              </w:rPr>
            </w:pPr>
            <w:r w:rsidRPr="001071E6">
              <w:rPr>
                <w:rFonts w:ascii="TradeGothic LT" w:hAnsi="TradeGothic LT"/>
              </w:rPr>
              <w:t xml:space="preserve">Beauvais, le </w:t>
            </w:r>
            <w:r w:rsidR="00CE141A">
              <w:rPr>
                <w:rFonts w:ascii="TradeGothic LT" w:hAnsi="TradeGothic LT"/>
              </w:rPr>
              <w:t>25</w:t>
            </w:r>
            <w:r w:rsidR="00714CAC">
              <w:rPr>
                <w:rFonts w:ascii="TradeGothic LT" w:hAnsi="TradeGothic LT"/>
              </w:rPr>
              <w:t>/01</w:t>
            </w:r>
            <w:r w:rsidR="003422D6">
              <w:rPr>
                <w:rFonts w:ascii="TradeGothic LT" w:hAnsi="TradeGothic LT"/>
              </w:rPr>
              <w:t>/</w:t>
            </w:r>
            <w:r w:rsidRPr="001071E6">
              <w:rPr>
                <w:rFonts w:ascii="TradeGothic LT" w:hAnsi="TradeGothic LT"/>
              </w:rPr>
              <w:t>2013</w:t>
            </w:r>
          </w:p>
        </w:tc>
      </w:tr>
    </w:tbl>
    <w:p w:rsidR="00B71A9A" w:rsidRDefault="00B71A9A" w:rsidP="00AC2EFE">
      <w:pPr>
        <w:rPr>
          <w:rFonts w:ascii="TradeGothic LT" w:hAnsi="TradeGothic LT"/>
          <w:b/>
          <w:sz w:val="16"/>
          <w:szCs w:val="16"/>
        </w:rPr>
      </w:pPr>
    </w:p>
    <w:p w:rsidR="00F94B70" w:rsidRPr="00AC2EFE" w:rsidRDefault="00F94B70" w:rsidP="00AC2EFE">
      <w:pPr>
        <w:rPr>
          <w:rFonts w:ascii="TradeGothic LT" w:hAnsi="TradeGothic LT"/>
          <w:b/>
          <w:sz w:val="16"/>
          <w:szCs w:val="16"/>
        </w:rPr>
      </w:pPr>
    </w:p>
    <w:p w:rsidR="00AC2EFE" w:rsidRPr="001071E6" w:rsidRDefault="003D6CD6" w:rsidP="001071E6">
      <w:pPr>
        <w:pBdr>
          <w:bottom w:val="single" w:sz="4" w:space="1" w:color="auto"/>
        </w:pBdr>
        <w:spacing w:line="276" w:lineRule="auto"/>
        <w:jc w:val="both"/>
        <w:rPr>
          <w:rFonts w:ascii="TradeGothic LT" w:hAnsi="TradeGothic LT"/>
          <w:b/>
        </w:rPr>
      </w:pPr>
      <w:r>
        <w:rPr>
          <w:rFonts w:ascii="TradeGothic LT" w:hAnsi="TradeGothic LT"/>
          <w:b/>
        </w:rPr>
        <w:t>Programme</w:t>
      </w:r>
      <w:r w:rsidR="001071E6" w:rsidRPr="001071E6">
        <w:rPr>
          <w:rFonts w:ascii="TradeGothic LT" w:hAnsi="TradeGothic LT"/>
          <w:b/>
        </w:rPr>
        <w:t xml:space="preserve"> de la table ronde sur les performances énergétiques, l’architecture et l’urbanisme</w:t>
      </w:r>
    </w:p>
    <w:p w:rsidR="00667A1D" w:rsidRDefault="00667A1D" w:rsidP="00667A1D">
      <w:pPr>
        <w:spacing w:line="360" w:lineRule="auto"/>
        <w:ind w:left="708"/>
        <w:jc w:val="both"/>
        <w:rPr>
          <w:rFonts w:ascii="TradeGothic LT" w:hAnsi="TradeGothic LT"/>
          <w:i/>
        </w:rPr>
      </w:pPr>
    </w:p>
    <w:p w:rsidR="00667A1D" w:rsidRDefault="0069135F" w:rsidP="00667A1D">
      <w:pPr>
        <w:spacing w:line="360" w:lineRule="auto"/>
        <w:jc w:val="both"/>
        <w:rPr>
          <w:rFonts w:ascii="TradeGothic LT" w:hAnsi="TradeGothic LT"/>
        </w:rPr>
      </w:pPr>
      <w:r>
        <w:rPr>
          <w:rFonts w:ascii="TradeGothic LT" w:hAnsi="TradeGothic LT"/>
        </w:rPr>
        <w:t xml:space="preserve">Le Conseil général de l’Oise, l’ADIL 60 et le CAUE 60 organisent </w:t>
      </w:r>
      <w:r w:rsidR="00CE141A">
        <w:rPr>
          <w:rFonts w:ascii="TradeGothic LT" w:hAnsi="TradeGothic LT"/>
        </w:rPr>
        <w:t xml:space="preserve">sous la présidence d’Yves ROME </w:t>
      </w:r>
      <w:r>
        <w:rPr>
          <w:rFonts w:ascii="TradeGothic LT" w:hAnsi="TradeGothic LT"/>
        </w:rPr>
        <w:t>une table ronde sur le thème « performances énergétiques, architecture et urbanisme ». Cette rencontre aura lieu le jeudi 7 février 2013 de 14 à 17h30 à l’Espace Galilée à Beauvais.</w:t>
      </w:r>
    </w:p>
    <w:p w:rsidR="003422D6" w:rsidRDefault="003422D6" w:rsidP="00667A1D">
      <w:pPr>
        <w:spacing w:line="360" w:lineRule="auto"/>
        <w:jc w:val="both"/>
        <w:rPr>
          <w:rFonts w:ascii="TradeGothic LT" w:hAnsi="TradeGothic LT"/>
        </w:rPr>
      </w:pPr>
    </w:p>
    <w:p w:rsidR="0069135F" w:rsidRDefault="00BD2437" w:rsidP="00667A1D">
      <w:pPr>
        <w:spacing w:line="360" w:lineRule="auto"/>
        <w:jc w:val="both"/>
        <w:rPr>
          <w:rFonts w:ascii="TradeGothic LT" w:hAnsi="TradeGothic LT"/>
        </w:rPr>
      </w:pPr>
      <w:r>
        <w:rPr>
          <w:rFonts w:ascii="TradeGothic LT" w:hAnsi="TradeGothic LT"/>
        </w:rPr>
        <w:t xml:space="preserve">Le déroulé de cette </w:t>
      </w:r>
      <w:r w:rsidR="003422D6">
        <w:rPr>
          <w:rFonts w:ascii="TradeGothic LT" w:hAnsi="TradeGothic LT"/>
        </w:rPr>
        <w:t>manifestation</w:t>
      </w:r>
      <w:r>
        <w:rPr>
          <w:rFonts w:ascii="TradeGothic LT" w:hAnsi="TradeGothic LT"/>
        </w:rPr>
        <w:t xml:space="preserve"> est prévu en deux temps :</w:t>
      </w:r>
    </w:p>
    <w:p w:rsidR="001641B8" w:rsidRDefault="001641B8" w:rsidP="00667A1D">
      <w:pPr>
        <w:spacing w:line="360" w:lineRule="auto"/>
        <w:jc w:val="both"/>
        <w:rPr>
          <w:rFonts w:ascii="TradeGothic LT" w:hAnsi="TradeGothic LT"/>
        </w:rPr>
      </w:pPr>
    </w:p>
    <w:p w:rsidR="007A72BA" w:rsidRPr="00BD2437" w:rsidRDefault="00667A1D" w:rsidP="00BD2437">
      <w:pPr>
        <w:pStyle w:val="Paragraphedeliste"/>
        <w:numPr>
          <w:ilvl w:val="0"/>
          <w:numId w:val="5"/>
        </w:numPr>
        <w:spacing w:after="240"/>
        <w:jc w:val="both"/>
        <w:rPr>
          <w:rFonts w:ascii="TradeGothic LT" w:hAnsi="TradeGothic LT"/>
          <w:i/>
          <w:sz w:val="24"/>
          <w:szCs w:val="24"/>
        </w:rPr>
      </w:pPr>
      <w:r w:rsidRPr="00BD2437">
        <w:rPr>
          <w:rFonts w:ascii="TradeGothic LT" w:hAnsi="TradeGothic LT"/>
          <w:b/>
        </w:rPr>
        <w:t>1</w:t>
      </w:r>
      <w:r w:rsidRPr="00BD2437">
        <w:rPr>
          <w:rFonts w:ascii="TradeGothic LT" w:hAnsi="TradeGothic LT"/>
          <w:b/>
          <w:vertAlign w:val="superscript"/>
        </w:rPr>
        <w:t>ère</w:t>
      </w:r>
      <w:r w:rsidRPr="00BD2437">
        <w:rPr>
          <w:rFonts w:ascii="TradeGothic LT" w:hAnsi="TradeGothic LT"/>
          <w:b/>
        </w:rPr>
        <w:t xml:space="preserve"> table-ronde (1h15)</w:t>
      </w:r>
      <w:r w:rsidRPr="00BD2437">
        <w:rPr>
          <w:rFonts w:ascii="TradeGothic LT" w:hAnsi="TradeGothic LT"/>
        </w:rPr>
        <w:t xml:space="preserve"> sur le thème des constructions nouvelles :</w:t>
      </w:r>
    </w:p>
    <w:p w:rsidR="00FB41F0" w:rsidRPr="007A72BA" w:rsidRDefault="00FB41F0" w:rsidP="007A72BA">
      <w:pPr>
        <w:spacing w:after="240"/>
        <w:ind w:left="714"/>
        <w:jc w:val="center"/>
        <w:rPr>
          <w:rFonts w:ascii="TradeGothic LT" w:hAnsi="TradeGothic LT"/>
          <w:i/>
          <w:sz w:val="24"/>
          <w:szCs w:val="24"/>
        </w:rPr>
      </w:pPr>
      <w:r w:rsidRPr="007A72BA">
        <w:rPr>
          <w:rFonts w:ascii="TradeGothic LT" w:hAnsi="TradeGothic LT"/>
          <w:i/>
          <w:sz w:val="24"/>
          <w:szCs w:val="24"/>
        </w:rPr>
        <w:t>« </w:t>
      </w:r>
      <w:r w:rsidR="007A72BA" w:rsidRPr="007A72BA">
        <w:rPr>
          <w:rFonts w:ascii="TradeGothic LT" w:hAnsi="TradeGothic LT"/>
          <w:b/>
          <w:i/>
          <w:sz w:val="24"/>
          <w:szCs w:val="24"/>
        </w:rPr>
        <w:t>Les</w:t>
      </w:r>
      <w:r w:rsidR="00667A1D" w:rsidRPr="007A72BA">
        <w:rPr>
          <w:rFonts w:ascii="TradeGothic LT" w:hAnsi="TradeGothic LT"/>
          <w:b/>
          <w:i/>
          <w:sz w:val="24"/>
          <w:szCs w:val="24"/>
        </w:rPr>
        <w:t xml:space="preserve"> nouvelles constructions à l’épreuve de la RT 2012 et des nouveaux enjeux en matière d’urbanisme ?</w:t>
      </w:r>
      <w:r w:rsidRPr="007A72BA">
        <w:rPr>
          <w:rFonts w:ascii="TradeGothic LT" w:hAnsi="TradeGothic LT"/>
          <w:b/>
          <w:i/>
          <w:sz w:val="24"/>
          <w:szCs w:val="24"/>
        </w:rPr>
        <w:t> »</w:t>
      </w:r>
    </w:p>
    <w:p w:rsidR="00BC42CC" w:rsidRDefault="00BC42CC" w:rsidP="001641B8">
      <w:pPr>
        <w:spacing w:after="120" w:line="360" w:lineRule="auto"/>
        <w:ind w:left="1416"/>
        <w:jc w:val="both"/>
        <w:rPr>
          <w:rFonts w:ascii="TradeGothic LT" w:hAnsi="TradeGothic LT"/>
        </w:rPr>
      </w:pPr>
      <w:r w:rsidRPr="00BC42CC">
        <w:rPr>
          <w:rFonts w:ascii="TradeGothic LT" w:hAnsi="TradeGothic LT"/>
        </w:rPr>
        <w:t xml:space="preserve">Il s’agira entre autres </w:t>
      </w:r>
      <w:r w:rsidR="009C05A5">
        <w:rPr>
          <w:rFonts w:ascii="TradeGothic LT" w:hAnsi="TradeGothic LT"/>
        </w:rPr>
        <w:t xml:space="preserve">de confronter la norme à la réalité, </w:t>
      </w:r>
      <w:r w:rsidRPr="00BC42CC">
        <w:rPr>
          <w:rFonts w:ascii="TradeGothic LT" w:hAnsi="TradeGothic LT"/>
        </w:rPr>
        <w:t xml:space="preserve">d’aborder les changements induits par la RT 2012, les questions de faisabilités technique, économique, architecturale, du retour sur l’investissement, des expériences de réalisations de projets urbains, de la sensibilisation des usagers, des incidences sur les formes urbaines et architecturales des BBC, BEPOS et des réseaux de chaleur,…  </w:t>
      </w:r>
    </w:p>
    <w:p w:rsidR="001641B8" w:rsidRPr="00C66908" w:rsidRDefault="003422D6" w:rsidP="00C66908">
      <w:pPr>
        <w:spacing w:after="120" w:line="360" w:lineRule="auto"/>
        <w:ind w:left="1134"/>
        <w:jc w:val="both"/>
        <w:rPr>
          <w:rFonts w:ascii="TradeGothic LT" w:hAnsi="TradeGothic LT"/>
        </w:rPr>
      </w:pPr>
      <w:r w:rsidRPr="00C66908">
        <w:rPr>
          <w:rFonts w:ascii="TradeGothic LT" w:hAnsi="TradeGothic LT"/>
        </w:rPr>
        <w:t xml:space="preserve">Interviendront </w:t>
      </w:r>
      <w:r w:rsidR="00C66908" w:rsidRPr="00C66908">
        <w:rPr>
          <w:rFonts w:ascii="TradeGothic LT" w:hAnsi="TradeGothic LT"/>
        </w:rPr>
        <w:t>notamment :</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Monsieur Alexandre CARON, Chargé d’opération à la Direction Départementale des Territoires</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Monsieur Franck BOUTTE, Directeur de Franck BOUTTE Consultants</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 xml:space="preserve">Monsieur Pascal GONTIER, Architecte </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Monsieur Christian NAVARRO, Maire de JAUX</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Monsieur Jean-Pierre BOSINO, Maire de Montataire</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Monsieur Michel QUEMENER, Directeur du CAUE de l’Oise</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Monsieur Vincent PERONNAUD, Directeur du Développement de l’OPAC</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 xml:space="preserve">Monsieur Didier FLINT, Vice-Président du SNAL </w:t>
      </w:r>
      <w:proofErr w:type="spellStart"/>
      <w:r w:rsidRPr="003D6CD6">
        <w:rPr>
          <w:rFonts w:ascii="TradeGothic LT" w:hAnsi="TradeGothic LT"/>
        </w:rPr>
        <w:t>Idf</w:t>
      </w:r>
      <w:proofErr w:type="spellEnd"/>
      <w:r w:rsidRPr="003D6CD6">
        <w:rPr>
          <w:rFonts w:ascii="TradeGothic LT" w:hAnsi="TradeGothic LT"/>
        </w:rPr>
        <w:t>-Picardie</w:t>
      </w:r>
      <w:r w:rsidRPr="003D6CD6">
        <w:rPr>
          <w:rFonts w:ascii="TradeGothic LT" w:hAnsi="TradeGothic LT"/>
          <w:i/>
          <w:iCs/>
        </w:rPr>
        <w:t xml:space="preserve"> </w:t>
      </w:r>
    </w:p>
    <w:p w:rsidR="003D6CD6" w:rsidRPr="003D6CD6" w:rsidRDefault="003D6CD6" w:rsidP="003D6CD6">
      <w:pPr>
        <w:numPr>
          <w:ilvl w:val="0"/>
          <w:numId w:val="6"/>
        </w:numPr>
        <w:spacing w:after="60" w:line="276" w:lineRule="auto"/>
        <w:ind w:left="1701"/>
        <w:rPr>
          <w:rFonts w:ascii="TradeGothic LT" w:hAnsi="TradeGothic LT"/>
        </w:rPr>
      </w:pPr>
      <w:r w:rsidRPr="003D6CD6">
        <w:rPr>
          <w:rFonts w:ascii="TradeGothic LT" w:hAnsi="TradeGothic LT"/>
        </w:rPr>
        <w:t>Monsieur Jean Jacques MONTIGNY, Directeur de l’Animation du Marché Immobilier, Caisse d’Epargne de Picardie</w:t>
      </w:r>
    </w:p>
    <w:p w:rsidR="00F72146" w:rsidRDefault="00F72146">
      <w:pPr>
        <w:spacing w:after="200" w:line="276" w:lineRule="auto"/>
        <w:rPr>
          <w:rFonts w:ascii="TradeGothic LT" w:hAnsi="TradeGothic LT"/>
        </w:rPr>
      </w:pPr>
      <w:r>
        <w:rPr>
          <w:rFonts w:ascii="TradeGothic LT" w:hAnsi="TradeGothic LT"/>
        </w:rPr>
        <w:br w:type="page"/>
      </w:r>
    </w:p>
    <w:p w:rsidR="003073E2" w:rsidRPr="003073E2" w:rsidRDefault="003073E2" w:rsidP="00ED5480">
      <w:pPr>
        <w:spacing w:after="120" w:line="360" w:lineRule="auto"/>
        <w:jc w:val="both"/>
        <w:rPr>
          <w:rFonts w:ascii="TradeGothic LT" w:hAnsi="TradeGothic LT"/>
        </w:rPr>
      </w:pPr>
    </w:p>
    <w:p w:rsidR="007A72BA" w:rsidRDefault="00667A1D" w:rsidP="00BD2437">
      <w:pPr>
        <w:pStyle w:val="Paragraphedeliste"/>
        <w:numPr>
          <w:ilvl w:val="0"/>
          <w:numId w:val="5"/>
        </w:numPr>
        <w:spacing w:after="240" w:line="360" w:lineRule="auto"/>
        <w:jc w:val="both"/>
        <w:rPr>
          <w:rFonts w:ascii="TradeGothic LT" w:hAnsi="TradeGothic LT"/>
        </w:rPr>
      </w:pPr>
      <w:r w:rsidRPr="00BD2437">
        <w:rPr>
          <w:rFonts w:ascii="TradeGothic LT" w:hAnsi="TradeGothic LT"/>
          <w:b/>
        </w:rPr>
        <w:t>2</w:t>
      </w:r>
      <w:r w:rsidRPr="00BD2437">
        <w:rPr>
          <w:rFonts w:ascii="TradeGothic LT" w:hAnsi="TradeGothic LT"/>
          <w:b/>
          <w:vertAlign w:val="superscript"/>
        </w:rPr>
        <w:t>ème</w:t>
      </w:r>
      <w:r w:rsidRPr="00BD2437">
        <w:rPr>
          <w:rFonts w:ascii="TradeGothic LT" w:hAnsi="TradeGothic LT"/>
          <w:b/>
        </w:rPr>
        <w:t xml:space="preserve"> table-ronde (1h15)</w:t>
      </w:r>
      <w:r w:rsidRPr="00BD2437">
        <w:rPr>
          <w:rFonts w:ascii="TradeGothic LT" w:hAnsi="TradeGothic LT"/>
        </w:rPr>
        <w:t xml:space="preserve"> sur le thème du patrimoine existant :</w:t>
      </w:r>
    </w:p>
    <w:p w:rsidR="00667A1D" w:rsidRPr="007A72BA" w:rsidRDefault="00BC42CC" w:rsidP="007A72BA">
      <w:pPr>
        <w:spacing w:after="240"/>
        <w:ind w:left="720"/>
        <w:jc w:val="center"/>
        <w:rPr>
          <w:rFonts w:ascii="TradeGothic LT" w:hAnsi="TradeGothic LT"/>
          <w:i/>
          <w:sz w:val="24"/>
          <w:szCs w:val="24"/>
        </w:rPr>
      </w:pPr>
      <w:r w:rsidRPr="007A72BA">
        <w:rPr>
          <w:rFonts w:ascii="TradeGothic LT" w:hAnsi="TradeGothic LT"/>
          <w:b/>
          <w:i/>
          <w:sz w:val="24"/>
          <w:szCs w:val="24"/>
        </w:rPr>
        <w:t xml:space="preserve"> </w:t>
      </w:r>
      <w:r w:rsidR="007A72BA" w:rsidRPr="007A72BA">
        <w:rPr>
          <w:rFonts w:ascii="TradeGothic LT" w:hAnsi="TradeGothic LT"/>
          <w:b/>
          <w:i/>
          <w:sz w:val="24"/>
          <w:szCs w:val="24"/>
        </w:rPr>
        <w:t>« L</w:t>
      </w:r>
      <w:r w:rsidR="00667A1D" w:rsidRPr="007A72BA">
        <w:rPr>
          <w:rFonts w:ascii="TradeGothic LT" w:hAnsi="TradeGothic LT"/>
          <w:b/>
          <w:i/>
          <w:sz w:val="24"/>
          <w:szCs w:val="24"/>
        </w:rPr>
        <w:t>e patrimoine ancien</w:t>
      </w:r>
      <w:r w:rsidR="003073E2" w:rsidRPr="007A72BA">
        <w:rPr>
          <w:rFonts w:ascii="TradeGothic LT" w:hAnsi="TradeGothic LT"/>
          <w:b/>
          <w:i/>
          <w:sz w:val="24"/>
          <w:szCs w:val="24"/>
        </w:rPr>
        <w:t xml:space="preserve"> (parc privé et parc social)</w:t>
      </w:r>
      <w:r w:rsidR="00667A1D" w:rsidRPr="007A72BA">
        <w:rPr>
          <w:rFonts w:ascii="TradeGothic LT" w:hAnsi="TradeGothic LT"/>
          <w:b/>
          <w:i/>
          <w:sz w:val="24"/>
          <w:szCs w:val="24"/>
        </w:rPr>
        <w:t xml:space="preserve"> à l’épreuve des enjeux thermiques du XXIème siècle ?</w:t>
      </w:r>
      <w:r w:rsidR="007A72BA" w:rsidRPr="007A72BA">
        <w:rPr>
          <w:rFonts w:ascii="TradeGothic LT" w:hAnsi="TradeGothic LT"/>
          <w:b/>
          <w:i/>
          <w:sz w:val="24"/>
          <w:szCs w:val="24"/>
        </w:rPr>
        <w:t> »</w:t>
      </w:r>
    </w:p>
    <w:p w:rsidR="00BC42CC" w:rsidRDefault="00CE141A" w:rsidP="001641B8">
      <w:pPr>
        <w:spacing w:after="120" w:line="360" w:lineRule="auto"/>
        <w:ind w:left="1416"/>
        <w:jc w:val="both"/>
        <w:rPr>
          <w:rFonts w:ascii="TradeGothic LT" w:hAnsi="TradeGothic LT"/>
        </w:rPr>
      </w:pPr>
      <w:r>
        <w:rPr>
          <w:rFonts w:ascii="TradeGothic LT" w:hAnsi="TradeGothic LT"/>
        </w:rPr>
        <w:t>Ser</w:t>
      </w:r>
      <w:r w:rsidR="00BC42CC" w:rsidRPr="00BC42CC">
        <w:rPr>
          <w:rFonts w:ascii="TradeGothic LT" w:hAnsi="TradeGothic LT"/>
        </w:rPr>
        <w:t xml:space="preserve">ont </w:t>
      </w:r>
      <w:r>
        <w:rPr>
          <w:rFonts w:ascii="TradeGothic LT" w:hAnsi="TradeGothic LT"/>
        </w:rPr>
        <w:t>notamment</w:t>
      </w:r>
      <w:r w:rsidR="00BC42CC" w:rsidRPr="00BC42CC">
        <w:rPr>
          <w:rFonts w:ascii="TradeGothic LT" w:hAnsi="TradeGothic LT"/>
        </w:rPr>
        <w:t xml:space="preserve"> discutés les enjeux de la réhabilitation thermique du patrimoine ancien, la faisabilité technique, économique, architecturale, l’emploi de techniques telle que le </w:t>
      </w:r>
      <w:proofErr w:type="spellStart"/>
      <w:r w:rsidR="00BC42CC" w:rsidRPr="00BC42CC">
        <w:rPr>
          <w:rFonts w:ascii="TradeGothic LT" w:hAnsi="TradeGothic LT"/>
        </w:rPr>
        <w:t>re-skinning</w:t>
      </w:r>
      <w:proofErr w:type="spellEnd"/>
      <w:r w:rsidR="00BC42CC" w:rsidRPr="00BC42CC">
        <w:rPr>
          <w:rFonts w:ascii="TradeGothic LT" w:hAnsi="TradeGothic LT"/>
        </w:rPr>
        <w:t xml:space="preserve">, les leviers d’actions </w:t>
      </w:r>
      <w:r>
        <w:rPr>
          <w:rFonts w:ascii="TradeGothic LT" w:hAnsi="TradeGothic LT"/>
        </w:rPr>
        <w:t xml:space="preserve">et outils </w:t>
      </w:r>
      <w:r w:rsidR="00BC42CC" w:rsidRPr="00BC42CC">
        <w:rPr>
          <w:rFonts w:ascii="TradeGothic LT" w:hAnsi="TradeGothic LT"/>
        </w:rPr>
        <w:t>possibles,…</w:t>
      </w:r>
    </w:p>
    <w:p w:rsidR="00C66908" w:rsidRPr="00C66908" w:rsidRDefault="00C66908" w:rsidP="00C66908">
      <w:pPr>
        <w:spacing w:after="120" w:line="360" w:lineRule="auto"/>
        <w:ind w:left="1134"/>
        <w:jc w:val="both"/>
        <w:rPr>
          <w:rFonts w:ascii="TradeGothic LT" w:hAnsi="TradeGothic LT"/>
        </w:rPr>
      </w:pPr>
      <w:r w:rsidRPr="00C66908">
        <w:rPr>
          <w:rFonts w:ascii="TradeGothic LT" w:hAnsi="TradeGothic LT"/>
        </w:rPr>
        <w:t>Interviendront notamment</w:t>
      </w:r>
      <w:r>
        <w:rPr>
          <w:rFonts w:ascii="TradeGothic LT" w:hAnsi="TradeGothic LT"/>
        </w:rPr>
        <w:t> :</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Monsieur Thibault VANDENBESSELAER, Responsable du bureau Production de logement à la Direction Départementale des Territoires</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Madame Claire OLIVIER, Président de l’URH</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Monsieur Jean Claude VILLEMAIN, Président de l’Agglomération CREILLOISE</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Monsieur Gratien CARRERE, Maire de BAILLEUL SUR THERAIN</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Monsieur Franck BOUTTE, Directeur de Franck BOUTTE Consultants</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Monsieur Jean Lucien GUENOUN, architecte des Bâtiments de France</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Madame Coralie DELISLE, chargé de mission de la Fédération Française du Bâtiment de l’Oise (FFB)</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Monsieur Patrick CARDON, Président de la Chambre de l’Artisanat et des Petites Entreprises du Bâtiment de l’Oise (CAPEB Oise)</w:t>
      </w:r>
    </w:p>
    <w:p w:rsidR="003D6CD6" w:rsidRPr="003D6CD6" w:rsidRDefault="003D6CD6" w:rsidP="003D6CD6">
      <w:pPr>
        <w:pStyle w:val="Paragraphedeliste"/>
        <w:numPr>
          <w:ilvl w:val="0"/>
          <w:numId w:val="8"/>
        </w:numPr>
        <w:spacing w:after="60" w:line="360" w:lineRule="auto"/>
        <w:ind w:left="1701"/>
        <w:jc w:val="both"/>
        <w:rPr>
          <w:rFonts w:ascii="TradeGothic LT" w:hAnsi="TradeGothic LT"/>
        </w:rPr>
      </w:pPr>
      <w:r w:rsidRPr="003D6CD6">
        <w:rPr>
          <w:rFonts w:ascii="TradeGothic LT" w:hAnsi="TradeGothic LT"/>
        </w:rPr>
        <w:t>Monsieur Michel LEFEUVRE, Coordinateur du PREBAT - PUCA</w:t>
      </w:r>
      <w:bookmarkStart w:id="0" w:name="_GoBack"/>
      <w:bookmarkEnd w:id="0"/>
    </w:p>
    <w:p w:rsidR="00B71A9A" w:rsidRDefault="00B71A9A" w:rsidP="001C3140">
      <w:pPr>
        <w:spacing w:after="120" w:line="360" w:lineRule="auto"/>
        <w:jc w:val="both"/>
        <w:rPr>
          <w:rFonts w:ascii="TradeGothic LT" w:hAnsi="TradeGothic LT"/>
        </w:rPr>
      </w:pPr>
    </w:p>
    <w:p w:rsidR="00CE141A" w:rsidRDefault="00A255BE" w:rsidP="001C3140">
      <w:pPr>
        <w:spacing w:after="120" w:line="360" w:lineRule="auto"/>
        <w:jc w:val="both"/>
        <w:rPr>
          <w:rFonts w:ascii="TradeGothic LT" w:hAnsi="TradeGothic LT"/>
        </w:rPr>
      </w:pPr>
      <w:r>
        <w:rPr>
          <w:rFonts w:ascii="TradeGothic LT" w:hAnsi="TradeGothic LT"/>
        </w:rPr>
        <w:t>Pour chaque table ronde, u</w:t>
      </w:r>
      <w:r w:rsidR="00CE141A">
        <w:rPr>
          <w:rFonts w:ascii="TradeGothic LT" w:hAnsi="TradeGothic LT"/>
        </w:rPr>
        <w:t>n temps d’échange avec la salle d’e</w:t>
      </w:r>
      <w:r>
        <w:rPr>
          <w:rFonts w:ascii="TradeGothic LT" w:hAnsi="TradeGothic LT"/>
        </w:rPr>
        <w:t>nv</w:t>
      </w:r>
      <w:r w:rsidR="00CE141A">
        <w:rPr>
          <w:rFonts w:ascii="TradeGothic LT" w:hAnsi="TradeGothic LT"/>
        </w:rPr>
        <w:t xml:space="preserve">iron 30 minutes est prévu </w:t>
      </w:r>
      <w:r>
        <w:rPr>
          <w:rFonts w:ascii="TradeGothic LT" w:hAnsi="TradeGothic LT"/>
        </w:rPr>
        <w:t xml:space="preserve">afin de pouvoir ouvrir les débats à tous sur </w:t>
      </w:r>
      <w:r w:rsidRPr="00A255BE">
        <w:rPr>
          <w:rFonts w:ascii="TradeGothic LT" w:hAnsi="TradeGothic LT"/>
        </w:rPr>
        <w:t>cette thématique à enjeux et d’actualité</w:t>
      </w:r>
      <w:r>
        <w:rPr>
          <w:rFonts w:ascii="TradeGothic LT" w:hAnsi="TradeGothic LT"/>
        </w:rPr>
        <w:t>.</w:t>
      </w:r>
    </w:p>
    <w:p w:rsidR="00A255BE" w:rsidRDefault="00A255BE" w:rsidP="001C3140">
      <w:pPr>
        <w:spacing w:after="120" w:line="360" w:lineRule="auto"/>
        <w:jc w:val="both"/>
        <w:rPr>
          <w:rFonts w:ascii="TradeGothic LT" w:hAnsi="TradeGothic LT"/>
        </w:rPr>
      </w:pPr>
      <w:r>
        <w:rPr>
          <w:rFonts w:ascii="TradeGothic LT" w:hAnsi="TradeGothic LT"/>
        </w:rPr>
        <w:t>C</w:t>
      </w:r>
      <w:r w:rsidRPr="00A255BE">
        <w:rPr>
          <w:rFonts w:ascii="TradeGothic LT" w:hAnsi="TradeGothic LT"/>
        </w:rPr>
        <w:t xml:space="preserve">et après-midi d’échange </w:t>
      </w:r>
      <w:r>
        <w:rPr>
          <w:rFonts w:ascii="TradeGothic LT" w:hAnsi="TradeGothic LT"/>
        </w:rPr>
        <w:t>se clôturera par un moment de convivialité autour d’un verre de l’amitié.</w:t>
      </w:r>
    </w:p>
    <w:p w:rsidR="0027662D" w:rsidRDefault="00A255BE" w:rsidP="001C3140">
      <w:pPr>
        <w:spacing w:after="120" w:line="360" w:lineRule="auto"/>
        <w:jc w:val="both"/>
        <w:rPr>
          <w:rFonts w:ascii="TradeGothic LT" w:hAnsi="TradeGothic LT"/>
        </w:rPr>
      </w:pPr>
      <w:r>
        <w:rPr>
          <w:rFonts w:ascii="TradeGothic LT" w:hAnsi="TradeGothic LT"/>
        </w:rPr>
        <w:t>Dans l’attente de vous recevoir, n</w:t>
      </w:r>
      <w:r w:rsidR="0027662D">
        <w:rPr>
          <w:rFonts w:ascii="TradeGothic LT" w:hAnsi="TradeGothic LT"/>
        </w:rPr>
        <w:t>ous vous prions d’agréer, Monsieur,</w:t>
      </w:r>
      <w:r w:rsidR="009E5F58">
        <w:rPr>
          <w:rFonts w:ascii="TradeGothic LT" w:hAnsi="TradeGothic LT"/>
        </w:rPr>
        <w:t xml:space="preserve"> Madame,</w:t>
      </w:r>
      <w:r w:rsidR="0027662D">
        <w:rPr>
          <w:rFonts w:ascii="TradeGothic LT" w:hAnsi="TradeGothic LT"/>
        </w:rPr>
        <w:t xml:space="preserve"> l’expression de notre considération distinguée.</w:t>
      </w:r>
    </w:p>
    <w:p w:rsidR="00DA3844" w:rsidRPr="00DA3844" w:rsidRDefault="00DA3844" w:rsidP="005F781B">
      <w:pPr>
        <w:spacing w:after="120" w:line="360" w:lineRule="auto"/>
        <w:ind w:left="708"/>
        <w:jc w:val="both"/>
        <w:rPr>
          <w:rFonts w:ascii="TradeGothic LT" w:hAnsi="TradeGothic LT"/>
        </w:rPr>
      </w:pPr>
    </w:p>
    <w:sectPr w:rsidR="00DA3844" w:rsidRPr="00DA3844" w:rsidSect="0049271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1A" w:rsidRDefault="00CE141A" w:rsidP="00257895">
      <w:r>
        <w:separator/>
      </w:r>
    </w:p>
  </w:endnote>
  <w:endnote w:type="continuationSeparator" w:id="0">
    <w:p w:rsidR="00CE141A" w:rsidRDefault="00CE141A" w:rsidP="0025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eGothic LT">
    <w:panose1 w:val="02000503020000020004"/>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1A" w:rsidRDefault="00CE141A" w:rsidP="00257895">
      <w:r>
        <w:separator/>
      </w:r>
    </w:p>
  </w:footnote>
  <w:footnote w:type="continuationSeparator" w:id="0">
    <w:p w:rsidR="00CE141A" w:rsidRDefault="00CE141A" w:rsidP="00257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411"/>
    <w:multiLevelType w:val="hybridMultilevel"/>
    <w:tmpl w:val="CA6E9A32"/>
    <w:lvl w:ilvl="0" w:tplc="7E40E20E">
      <w:start w:val="60"/>
      <w:numFmt w:val="bullet"/>
      <w:lvlText w:val="-"/>
      <w:lvlJc w:val="left"/>
      <w:pPr>
        <w:ind w:left="720" w:hanging="360"/>
      </w:pPr>
      <w:rPr>
        <w:rFonts w:ascii="TradeGothic LT" w:eastAsia="Times New Roman" w:hAnsi="TradeGothic L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02D1C"/>
    <w:multiLevelType w:val="hybridMultilevel"/>
    <w:tmpl w:val="7E063C86"/>
    <w:lvl w:ilvl="0" w:tplc="A17EFD36">
      <w:start w:val="16"/>
      <w:numFmt w:val="bullet"/>
      <w:lvlText w:val="-"/>
      <w:lvlJc w:val="left"/>
      <w:pPr>
        <w:ind w:left="720" w:hanging="360"/>
      </w:pPr>
      <w:rPr>
        <w:rFonts w:ascii="TradeGothic LT" w:eastAsia="Times New Roman" w:hAnsi="TradeGothic L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CD38EC"/>
    <w:multiLevelType w:val="hybridMultilevel"/>
    <w:tmpl w:val="EE76A9AC"/>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C0235DF"/>
    <w:multiLevelType w:val="hybridMultilevel"/>
    <w:tmpl w:val="9BB88EB8"/>
    <w:lvl w:ilvl="0" w:tplc="A17EFD36">
      <w:start w:val="16"/>
      <w:numFmt w:val="bullet"/>
      <w:lvlText w:val="-"/>
      <w:lvlJc w:val="left"/>
      <w:pPr>
        <w:ind w:left="3192" w:hanging="360"/>
      </w:pPr>
      <w:rPr>
        <w:rFonts w:ascii="TradeGothic LT" w:eastAsia="Times New Roman" w:hAnsi="TradeGothic LT" w:cs="Times New Roman"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nsid w:val="27616498"/>
    <w:multiLevelType w:val="hybridMultilevel"/>
    <w:tmpl w:val="B9907672"/>
    <w:lvl w:ilvl="0" w:tplc="040C0003">
      <w:start w:val="1"/>
      <w:numFmt w:val="bullet"/>
      <w:lvlText w:val="o"/>
      <w:lvlJc w:val="left"/>
      <w:pPr>
        <w:ind w:left="2484" w:hanging="360"/>
      </w:pPr>
      <w:rPr>
        <w:rFonts w:ascii="Courier New" w:hAnsi="Courier New" w:cs="Courier New"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nsid w:val="2EEF37AB"/>
    <w:multiLevelType w:val="hybridMultilevel"/>
    <w:tmpl w:val="9BFCC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A415ED"/>
    <w:multiLevelType w:val="hybridMultilevel"/>
    <w:tmpl w:val="CCDC8B36"/>
    <w:lvl w:ilvl="0" w:tplc="646C10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7A5C48"/>
    <w:multiLevelType w:val="hybridMultilevel"/>
    <w:tmpl w:val="CEEA80A0"/>
    <w:lvl w:ilvl="0" w:tplc="BD28433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1D"/>
    <w:rsid w:val="00074459"/>
    <w:rsid w:val="000A0861"/>
    <w:rsid w:val="000A1151"/>
    <w:rsid w:val="000B12A3"/>
    <w:rsid w:val="000B59E6"/>
    <w:rsid w:val="000E517E"/>
    <w:rsid w:val="001071E6"/>
    <w:rsid w:val="0010755D"/>
    <w:rsid w:val="001641B8"/>
    <w:rsid w:val="00196DCF"/>
    <w:rsid w:val="001A553A"/>
    <w:rsid w:val="001C0DCE"/>
    <w:rsid w:val="001C1C1A"/>
    <w:rsid w:val="001C3140"/>
    <w:rsid w:val="001E47CB"/>
    <w:rsid w:val="00257895"/>
    <w:rsid w:val="0027662D"/>
    <w:rsid w:val="0028073C"/>
    <w:rsid w:val="002A3070"/>
    <w:rsid w:val="002C7D96"/>
    <w:rsid w:val="002D399A"/>
    <w:rsid w:val="002E7C87"/>
    <w:rsid w:val="003073E2"/>
    <w:rsid w:val="003422D6"/>
    <w:rsid w:val="003B58D5"/>
    <w:rsid w:val="003D6CD6"/>
    <w:rsid w:val="003E133C"/>
    <w:rsid w:val="003F4905"/>
    <w:rsid w:val="0040705E"/>
    <w:rsid w:val="00492716"/>
    <w:rsid w:val="004B326F"/>
    <w:rsid w:val="004B3A46"/>
    <w:rsid w:val="004B4505"/>
    <w:rsid w:val="004D5314"/>
    <w:rsid w:val="0058024D"/>
    <w:rsid w:val="005D108A"/>
    <w:rsid w:val="005F781B"/>
    <w:rsid w:val="00602F6B"/>
    <w:rsid w:val="006069F5"/>
    <w:rsid w:val="0063655F"/>
    <w:rsid w:val="00667A1D"/>
    <w:rsid w:val="0069135F"/>
    <w:rsid w:val="00692F95"/>
    <w:rsid w:val="006A6889"/>
    <w:rsid w:val="006A71F8"/>
    <w:rsid w:val="00713FDC"/>
    <w:rsid w:val="00714CAC"/>
    <w:rsid w:val="00727EAA"/>
    <w:rsid w:val="00731E91"/>
    <w:rsid w:val="007A6221"/>
    <w:rsid w:val="007A72BA"/>
    <w:rsid w:val="007D338F"/>
    <w:rsid w:val="00823DB3"/>
    <w:rsid w:val="00845A70"/>
    <w:rsid w:val="0085418C"/>
    <w:rsid w:val="00861BB6"/>
    <w:rsid w:val="00864EEA"/>
    <w:rsid w:val="00871FB4"/>
    <w:rsid w:val="008D1926"/>
    <w:rsid w:val="008F7709"/>
    <w:rsid w:val="00981068"/>
    <w:rsid w:val="00984465"/>
    <w:rsid w:val="009C05A5"/>
    <w:rsid w:val="009E5F58"/>
    <w:rsid w:val="00A15FB0"/>
    <w:rsid w:val="00A255BE"/>
    <w:rsid w:val="00A274CD"/>
    <w:rsid w:val="00A46B6F"/>
    <w:rsid w:val="00A979D3"/>
    <w:rsid w:val="00AC2EFE"/>
    <w:rsid w:val="00B718D8"/>
    <w:rsid w:val="00B71A9A"/>
    <w:rsid w:val="00BC42CC"/>
    <w:rsid w:val="00BD2437"/>
    <w:rsid w:val="00BE311D"/>
    <w:rsid w:val="00BE6D51"/>
    <w:rsid w:val="00C204CC"/>
    <w:rsid w:val="00C66908"/>
    <w:rsid w:val="00C711CA"/>
    <w:rsid w:val="00C85B1E"/>
    <w:rsid w:val="00C87A09"/>
    <w:rsid w:val="00CE141A"/>
    <w:rsid w:val="00CF50DC"/>
    <w:rsid w:val="00D05301"/>
    <w:rsid w:val="00D20331"/>
    <w:rsid w:val="00D31D29"/>
    <w:rsid w:val="00D41E6F"/>
    <w:rsid w:val="00DA3844"/>
    <w:rsid w:val="00E110CA"/>
    <w:rsid w:val="00ED5480"/>
    <w:rsid w:val="00F72146"/>
    <w:rsid w:val="00F94B70"/>
    <w:rsid w:val="00FB19CA"/>
    <w:rsid w:val="00FB41F0"/>
    <w:rsid w:val="00FD4BF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0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895"/>
    <w:pPr>
      <w:tabs>
        <w:tab w:val="center" w:pos="4536"/>
        <w:tab w:val="right" w:pos="9072"/>
      </w:tabs>
    </w:pPr>
  </w:style>
  <w:style w:type="character" w:customStyle="1" w:styleId="En-tteCar">
    <w:name w:val="En-tête Car"/>
    <w:basedOn w:val="Policepardfaut"/>
    <w:link w:val="En-tte"/>
    <w:uiPriority w:val="99"/>
    <w:rsid w:val="0025789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57895"/>
    <w:pPr>
      <w:tabs>
        <w:tab w:val="center" w:pos="4536"/>
        <w:tab w:val="right" w:pos="9072"/>
      </w:tabs>
    </w:pPr>
  </w:style>
  <w:style w:type="character" w:customStyle="1" w:styleId="PieddepageCar">
    <w:name w:val="Pied de page Car"/>
    <w:basedOn w:val="Policepardfaut"/>
    <w:link w:val="Pieddepage"/>
    <w:uiPriority w:val="99"/>
    <w:rsid w:val="0025789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641B8"/>
    <w:rPr>
      <w:rFonts w:ascii="Tahoma" w:hAnsi="Tahoma" w:cs="Tahoma"/>
      <w:sz w:val="16"/>
      <w:szCs w:val="16"/>
    </w:rPr>
  </w:style>
  <w:style w:type="character" w:customStyle="1" w:styleId="TextedebullesCar">
    <w:name w:val="Texte de bulles Car"/>
    <w:basedOn w:val="Policepardfaut"/>
    <w:link w:val="Textedebulles"/>
    <w:uiPriority w:val="99"/>
    <w:semiHidden/>
    <w:rsid w:val="001641B8"/>
    <w:rPr>
      <w:rFonts w:ascii="Tahoma" w:eastAsia="Times New Roman" w:hAnsi="Tahoma" w:cs="Tahoma"/>
      <w:sz w:val="16"/>
      <w:szCs w:val="16"/>
      <w:lang w:eastAsia="fr-FR"/>
    </w:rPr>
  </w:style>
  <w:style w:type="paragraph" w:styleId="Paragraphedeliste">
    <w:name w:val="List Paragraph"/>
    <w:basedOn w:val="Normal"/>
    <w:uiPriority w:val="34"/>
    <w:qFormat/>
    <w:rsid w:val="001641B8"/>
    <w:pPr>
      <w:ind w:left="720"/>
      <w:contextualSpacing/>
    </w:pPr>
  </w:style>
  <w:style w:type="table" w:styleId="Grilledutableau">
    <w:name w:val="Table Grid"/>
    <w:basedOn w:val="TableauNormal"/>
    <w:uiPriority w:val="59"/>
    <w:rsid w:val="00AC2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C1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0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895"/>
    <w:pPr>
      <w:tabs>
        <w:tab w:val="center" w:pos="4536"/>
        <w:tab w:val="right" w:pos="9072"/>
      </w:tabs>
    </w:pPr>
  </w:style>
  <w:style w:type="character" w:customStyle="1" w:styleId="En-tteCar">
    <w:name w:val="En-tête Car"/>
    <w:basedOn w:val="Policepardfaut"/>
    <w:link w:val="En-tte"/>
    <w:uiPriority w:val="99"/>
    <w:rsid w:val="0025789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57895"/>
    <w:pPr>
      <w:tabs>
        <w:tab w:val="center" w:pos="4536"/>
        <w:tab w:val="right" w:pos="9072"/>
      </w:tabs>
    </w:pPr>
  </w:style>
  <w:style w:type="character" w:customStyle="1" w:styleId="PieddepageCar">
    <w:name w:val="Pied de page Car"/>
    <w:basedOn w:val="Policepardfaut"/>
    <w:link w:val="Pieddepage"/>
    <w:uiPriority w:val="99"/>
    <w:rsid w:val="0025789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641B8"/>
    <w:rPr>
      <w:rFonts w:ascii="Tahoma" w:hAnsi="Tahoma" w:cs="Tahoma"/>
      <w:sz w:val="16"/>
      <w:szCs w:val="16"/>
    </w:rPr>
  </w:style>
  <w:style w:type="character" w:customStyle="1" w:styleId="TextedebullesCar">
    <w:name w:val="Texte de bulles Car"/>
    <w:basedOn w:val="Policepardfaut"/>
    <w:link w:val="Textedebulles"/>
    <w:uiPriority w:val="99"/>
    <w:semiHidden/>
    <w:rsid w:val="001641B8"/>
    <w:rPr>
      <w:rFonts w:ascii="Tahoma" w:eastAsia="Times New Roman" w:hAnsi="Tahoma" w:cs="Tahoma"/>
      <w:sz w:val="16"/>
      <w:szCs w:val="16"/>
      <w:lang w:eastAsia="fr-FR"/>
    </w:rPr>
  </w:style>
  <w:style w:type="paragraph" w:styleId="Paragraphedeliste">
    <w:name w:val="List Paragraph"/>
    <w:basedOn w:val="Normal"/>
    <w:uiPriority w:val="34"/>
    <w:qFormat/>
    <w:rsid w:val="001641B8"/>
    <w:pPr>
      <w:ind w:left="720"/>
      <w:contextualSpacing/>
    </w:pPr>
  </w:style>
  <w:style w:type="table" w:styleId="Grilledutableau">
    <w:name w:val="Table Grid"/>
    <w:basedOn w:val="TableauNormal"/>
    <w:uiPriority w:val="59"/>
    <w:rsid w:val="00AC2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C1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32028">
      <w:bodyDiv w:val="1"/>
      <w:marLeft w:val="0"/>
      <w:marRight w:val="0"/>
      <w:marTop w:val="0"/>
      <w:marBottom w:val="0"/>
      <w:divBdr>
        <w:top w:val="none" w:sz="0" w:space="0" w:color="auto"/>
        <w:left w:val="none" w:sz="0" w:space="0" w:color="auto"/>
        <w:bottom w:val="none" w:sz="0" w:space="0" w:color="auto"/>
        <w:right w:val="none" w:sz="0" w:space="0" w:color="auto"/>
      </w:divBdr>
    </w:div>
    <w:div w:id="14362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nce.brasseur@cg60.fr"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6BE6BFC6DAEB459FCBC12C47770DDD" ma:contentTypeVersion="0" ma:contentTypeDescription="Crée un document." ma:contentTypeScope="" ma:versionID="3c2c71a1f0aa94bb37240c5a8dca3a54">
  <xsd:schema xmlns:xsd="http://www.w3.org/2001/XMLSchema" xmlns:xs="http://www.w3.org/2001/XMLSchema" xmlns:p="http://schemas.microsoft.com/office/2006/metadata/properties" xmlns:ns2="529107be-b13b-440b-9def-685b0a9b3658" targetNamespace="http://schemas.microsoft.com/office/2006/metadata/properties" ma:root="true" ma:fieldsID="311044db9a0b8b3fc93032b3051bfcdf" ns2:_="">
    <xsd:import namespace="529107be-b13b-440b-9def-685b0a9b36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107be-b13b-440b-9def-685b0a9b365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29107be-b13b-440b-9def-685b0a9b3658">H563N64D4QT5-1024-209</_dlc_DocId>
    <_dlc_DocIdUrl xmlns="529107be-b13b-440b-9def-685b0a9b3658">
      <Url>http://espaceco/opendata/_layouts/DocIdRedir.aspx?ID=H563N64D4QT5-1024-209</Url>
      <Description>H563N64D4QT5-1024-209</Description>
    </_dlc_DocIdUrl>
  </documentManagement>
</p:properties>
</file>

<file path=customXml/itemProps1.xml><?xml version="1.0" encoding="utf-8"?>
<ds:datastoreItem xmlns:ds="http://schemas.openxmlformats.org/officeDocument/2006/customXml" ds:itemID="{AFC79B34-7BBF-486E-8E41-5B9E6E361C06}"/>
</file>

<file path=customXml/itemProps2.xml><?xml version="1.0" encoding="utf-8"?>
<ds:datastoreItem xmlns:ds="http://schemas.openxmlformats.org/officeDocument/2006/customXml" ds:itemID="{E4CC30B9-41ED-43ED-9FB6-1752D68AE4AE}"/>
</file>

<file path=customXml/itemProps3.xml><?xml version="1.0" encoding="utf-8"?>
<ds:datastoreItem xmlns:ds="http://schemas.openxmlformats.org/officeDocument/2006/customXml" ds:itemID="{11C6079B-0B41-4A34-AE64-95A9A36D4932}"/>
</file>

<file path=customXml/itemProps4.xml><?xml version="1.0" encoding="utf-8"?>
<ds:datastoreItem xmlns:ds="http://schemas.openxmlformats.org/officeDocument/2006/customXml" ds:itemID="{2025E892-2484-4EBA-8BE6-81F835F75D6D}"/>
</file>

<file path=customXml/itemProps5.xml><?xml version="1.0" encoding="utf-8"?>
<ds:datastoreItem xmlns:ds="http://schemas.openxmlformats.org/officeDocument/2006/customXml" ds:itemID="{ED8702A7-6F9B-43A1-9344-AB650B0438AB}"/>
</file>

<file path=docProps/app.xml><?xml version="1.0" encoding="utf-8"?>
<Properties xmlns="http://schemas.openxmlformats.org/officeDocument/2006/extended-properties" xmlns:vt="http://schemas.openxmlformats.org/officeDocument/2006/docPropsVTypes">
  <Template>Normal</Template>
  <TotalTime>36</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Général de l'Oise</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GUIDI, Claire</dc:creator>
  <cp:lastModifiedBy>RILLIE, Carinne</cp:lastModifiedBy>
  <cp:revision>13</cp:revision>
  <cp:lastPrinted>2013-02-01T10:10:00Z</cp:lastPrinted>
  <dcterms:created xsi:type="dcterms:W3CDTF">2013-01-17T09:01:00Z</dcterms:created>
  <dcterms:modified xsi:type="dcterms:W3CDTF">2013-02-04T14:19:00Z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0x010100CF6BE6BFC6DAEB459FCBC12C47770DDD</vt:lpwstr>
  </property>
  <property fmtid="{D5CDD505-2E9C-101B-9397-08002B2CF9AE}" pid="3" name="_dlc_DocIdItemGuid">
    <vt:lpwstr>126587a9-c338-4b4f-8cf0-f95f6f9c65b7</vt:lpwstr>
  </property>
</Properties>
</file>