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A9" w:rsidRPr="00BB76A9" w:rsidRDefault="00BB76A9" w:rsidP="00BB76A9">
      <w:pPr>
        <w:spacing w:before="100" w:beforeAutospacing="1" w:after="100" w:afterAutospacing="1" w:line="240" w:lineRule="auto"/>
        <w:jc w:val="both"/>
        <w:outlineLvl w:val="0"/>
        <w:rPr>
          <w:rFonts w:eastAsia="Times New Roman" w:cstheme="minorHAnsi"/>
          <w:b/>
          <w:bCs/>
          <w:kern w:val="36"/>
          <w:sz w:val="48"/>
          <w:szCs w:val="48"/>
          <w:lang w:eastAsia="fr-FR"/>
        </w:rPr>
      </w:pPr>
      <w:r w:rsidRPr="00BB76A9">
        <w:rPr>
          <w:rFonts w:eastAsia="Times New Roman" w:cstheme="minorHAnsi"/>
          <w:b/>
          <w:bCs/>
          <w:kern w:val="36"/>
          <w:sz w:val="48"/>
          <w:szCs w:val="48"/>
          <w:lang w:eastAsia="fr-FR"/>
        </w:rPr>
        <w:t xml:space="preserve">Les données retenues pour l'observatoire interministériel des restitutions </w:t>
      </w:r>
    </w:p>
    <w:p w:rsidR="00BB76A9" w:rsidRPr="00BB76A9" w:rsidRDefault="00BB76A9" w:rsidP="00BB76A9">
      <w:pPr>
        <w:spacing w:before="100" w:beforeAutospacing="1" w:after="100" w:afterAutospacing="1" w:line="240" w:lineRule="auto"/>
        <w:jc w:val="both"/>
        <w:rPr>
          <w:rFonts w:eastAsia="Times New Roman" w:cstheme="minorHAnsi"/>
          <w:sz w:val="24"/>
          <w:szCs w:val="24"/>
          <w:lang w:eastAsia="fr-FR"/>
        </w:rPr>
      </w:pPr>
      <w:r w:rsidRPr="00BB76A9">
        <w:rPr>
          <w:rFonts w:eastAsia="Times New Roman" w:cstheme="minorHAnsi"/>
          <w:sz w:val="24"/>
          <w:szCs w:val="24"/>
          <w:lang w:eastAsia="fr-FR"/>
        </w:rPr>
        <w:t>Cet observatoire fournit des informations sur chaque demande de restitution  menée auprès d’un détenteur : date de l’action ou de la vente, nombre de lots concernés, description, types de documents, périodes concernées, services instructeur et destinataire et issue de l’action.</w:t>
      </w:r>
    </w:p>
    <w:p w:rsidR="008366DB" w:rsidRDefault="00BB76A9" w:rsidP="00BB76A9">
      <w:pPr>
        <w:spacing w:before="100" w:beforeAutospacing="1" w:after="100" w:afterAutospacing="1" w:line="240" w:lineRule="auto"/>
        <w:jc w:val="both"/>
        <w:rPr>
          <w:rFonts w:eastAsia="Times New Roman" w:cstheme="minorHAnsi"/>
          <w:sz w:val="24"/>
          <w:szCs w:val="24"/>
          <w:lang w:eastAsia="fr-FR"/>
        </w:rPr>
      </w:pPr>
      <w:r w:rsidRPr="00BB76A9">
        <w:rPr>
          <w:rFonts w:eastAsia="Times New Roman" w:cstheme="minorHAnsi"/>
          <w:sz w:val="24"/>
          <w:szCs w:val="24"/>
          <w:lang w:eastAsia="fr-FR"/>
        </w:rPr>
        <w:t>Une action en revendication consiste à signaler par courrier recommandé à un détenteur, qu’il s’agisse d’un mandataire (maison de ventes, librairie, expert) ou d’un détenteur individuel, que l’administration entend demander la restitution d’un ou de plusieurs documents mis en vente, en raison de leur caractère public.</w:t>
      </w:r>
      <w:bookmarkStart w:id="0" w:name="_GoBack"/>
      <w:bookmarkEnd w:id="0"/>
    </w:p>
    <w:tbl>
      <w:tblPr>
        <w:tblW w:w="4993" w:type="pct"/>
        <w:tblBorders>
          <w:top w:val="single" w:sz="6" w:space="0" w:color="000000"/>
          <w:left w:val="single" w:sz="6" w:space="0" w:color="000000"/>
          <w:bottom w:val="single" w:sz="6" w:space="0" w:color="000000"/>
          <w:right w:val="single" w:sz="6" w:space="0" w:color="000000"/>
        </w:tblBorders>
        <w:tblCellMar>
          <w:top w:w="150" w:type="dxa"/>
          <w:left w:w="150" w:type="dxa"/>
          <w:bottom w:w="150" w:type="dxa"/>
          <w:right w:w="150" w:type="dxa"/>
        </w:tblCellMar>
        <w:tblLook w:val="04A0" w:firstRow="1" w:lastRow="0" w:firstColumn="1" w:lastColumn="0" w:noHBand="0" w:noVBand="1"/>
      </w:tblPr>
      <w:tblGrid>
        <w:gridCol w:w="2123"/>
        <w:gridCol w:w="6920"/>
      </w:tblGrid>
      <w:tr w:rsidR="008366DB" w:rsidRPr="00BB76A9" w:rsidTr="008366DB">
        <w:trPr>
          <w:trHeight w:val="336"/>
        </w:trPr>
        <w:tc>
          <w:tcPr>
            <w:tcW w:w="1174" w:type="pct"/>
            <w:tcBorders>
              <w:top w:val="single" w:sz="6" w:space="0" w:color="000000"/>
              <w:left w:val="single" w:sz="6" w:space="0" w:color="000000"/>
              <w:bottom w:val="single" w:sz="6" w:space="0" w:color="000000"/>
              <w:right w:val="single" w:sz="6" w:space="0" w:color="000000"/>
            </w:tcBorders>
            <w:vAlign w:val="center"/>
            <w:hideMark/>
          </w:tcPr>
          <w:p w:rsidR="008366DB" w:rsidRPr="008366DB" w:rsidRDefault="008366DB" w:rsidP="00391FAB">
            <w:pPr>
              <w:spacing w:after="0" w:line="240" w:lineRule="auto"/>
              <w:jc w:val="both"/>
              <w:rPr>
                <w:rFonts w:eastAsia="Times New Roman" w:cstheme="minorHAnsi"/>
                <w:b/>
                <w:bCs/>
                <w:sz w:val="24"/>
                <w:szCs w:val="24"/>
                <w:lang w:eastAsia="fr-FR"/>
              </w:rPr>
            </w:pPr>
            <w:r w:rsidRPr="00BB76A9">
              <w:rPr>
                <w:rFonts w:eastAsia="Times New Roman" w:cstheme="minorHAnsi"/>
                <w:b/>
                <w:bCs/>
                <w:sz w:val="24"/>
                <w:szCs w:val="24"/>
                <w:lang w:eastAsia="fr-FR"/>
              </w:rPr>
              <w:t>Secteur</w:t>
            </w:r>
          </w:p>
        </w:tc>
        <w:tc>
          <w:tcPr>
            <w:tcW w:w="3826" w:type="pct"/>
            <w:tcBorders>
              <w:top w:val="single" w:sz="6" w:space="0" w:color="000000"/>
              <w:left w:val="single" w:sz="6" w:space="0" w:color="000000"/>
              <w:bottom w:val="single" w:sz="6" w:space="0" w:color="000000"/>
              <w:right w:val="single" w:sz="6" w:space="0" w:color="000000"/>
            </w:tcBorders>
            <w:vAlign w:val="center"/>
            <w:hideMark/>
          </w:tcPr>
          <w:p w:rsidR="008366DB" w:rsidRPr="00BB76A9" w:rsidRDefault="008366DB" w:rsidP="00391FAB">
            <w:pPr>
              <w:spacing w:after="0" w:line="240" w:lineRule="auto"/>
              <w:jc w:val="both"/>
              <w:rPr>
                <w:rFonts w:eastAsia="Times New Roman" w:cstheme="minorHAnsi"/>
                <w:sz w:val="24"/>
                <w:szCs w:val="24"/>
                <w:lang w:eastAsia="fr-FR"/>
              </w:rPr>
            </w:pPr>
            <w:r w:rsidRPr="00BB76A9">
              <w:rPr>
                <w:rFonts w:eastAsia="Times New Roman" w:cstheme="minorHAnsi"/>
                <w:sz w:val="24"/>
                <w:szCs w:val="24"/>
                <w:lang w:eastAsia="fr-FR"/>
              </w:rPr>
              <w:t> En matière de gestion d’archives, trois administrations sont habilitées à agir sur ce terrain : le ministère de l’Europe et des Affaires étrangères (Affaires étrangères), le ministère des Armées (Armées) pour leur périmètre propre, et le ministère de la Culture (Culture) pour l’ensemble des autres secteurs ministériels.</w:t>
            </w:r>
          </w:p>
        </w:tc>
      </w:tr>
      <w:tr w:rsidR="00BB76A9" w:rsidRPr="00BB76A9" w:rsidTr="000F253A">
        <w:trPr>
          <w:trHeight w:val="336"/>
        </w:trPr>
        <w:tc>
          <w:tcPr>
            <w:tcW w:w="1174" w:type="pct"/>
            <w:tcBorders>
              <w:top w:val="single" w:sz="6" w:space="0" w:color="000000"/>
              <w:left w:val="single" w:sz="6" w:space="0" w:color="000000"/>
              <w:bottom w:val="single" w:sz="6" w:space="0" w:color="000000"/>
              <w:right w:val="single" w:sz="6" w:space="0" w:color="000000"/>
            </w:tcBorders>
            <w:vAlign w:val="center"/>
            <w:hideMark/>
          </w:tcPr>
          <w:p w:rsidR="00BB76A9" w:rsidRPr="00BB76A9" w:rsidRDefault="00BB76A9" w:rsidP="00BB76A9">
            <w:pPr>
              <w:spacing w:after="0" w:line="240" w:lineRule="auto"/>
              <w:jc w:val="both"/>
              <w:rPr>
                <w:rFonts w:eastAsia="Times New Roman" w:cstheme="minorHAnsi"/>
                <w:sz w:val="24"/>
                <w:szCs w:val="24"/>
                <w:lang w:eastAsia="fr-FR"/>
              </w:rPr>
            </w:pPr>
            <w:r w:rsidRPr="00BB76A9">
              <w:rPr>
                <w:rFonts w:eastAsia="Times New Roman" w:cstheme="minorHAnsi"/>
                <w:b/>
                <w:bCs/>
                <w:sz w:val="24"/>
                <w:szCs w:val="24"/>
                <w:lang w:eastAsia="fr-FR"/>
              </w:rPr>
              <w:t>Numéro d’action</w:t>
            </w:r>
          </w:p>
        </w:tc>
        <w:tc>
          <w:tcPr>
            <w:tcW w:w="3826" w:type="pct"/>
            <w:tcBorders>
              <w:top w:val="single" w:sz="6" w:space="0" w:color="000000"/>
              <w:left w:val="single" w:sz="6" w:space="0" w:color="000000"/>
              <w:bottom w:val="single" w:sz="6" w:space="0" w:color="000000"/>
              <w:right w:val="single" w:sz="6" w:space="0" w:color="000000"/>
            </w:tcBorders>
            <w:vAlign w:val="center"/>
            <w:hideMark/>
          </w:tcPr>
          <w:p w:rsidR="00BB76A9" w:rsidRPr="00BB76A9" w:rsidRDefault="00BB76A9" w:rsidP="00BB76A9">
            <w:pPr>
              <w:spacing w:after="0" w:line="240" w:lineRule="auto"/>
              <w:jc w:val="both"/>
              <w:rPr>
                <w:rFonts w:eastAsia="Times New Roman" w:cstheme="minorHAnsi"/>
                <w:sz w:val="24"/>
                <w:szCs w:val="24"/>
                <w:lang w:eastAsia="fr-FR"/>
              </w:rPr>
            </w:pPr>
            <w:r w:rsidRPr="00BB76A9">
              <w:rPr>
                <w:rFonts w:eastAsia="Times New Roman" w:cstheme="minorHAnsi"/>
                <w:sz w:val="24"/>
                <w:szCs w:val="24"/>
                <w:lang w:eastAsia="fr-FR"/>
              </w:rPr>
              <w:t>Numéro d’enregistrement de toute nouvelle demande de restitution effectuée auprès d’un détenteur par un acteur public pour un service public.</w:t>
            </w:r>
          </w:p>
        </w:tc>
      </w:tr>
      <w:tr w:rsidR="00BB76A9" w:rsidRPr="00BB76A9" w:rsidTr="000F253A">
        <w:tc>
          <w:tcPr>
            <w:tcW w:w="1174" w:type="pct"/>
            <w:tcBorders>
              <w:top w:val="single" w:sz="6" w:space="0" w:color="000000"/>
              <w:left w:val="single" w:sz="6" w:space="0" w:color="000000"/>
              <w:bottom w:val="single" w:sz="6" w:space="0" w:color="000000"/>
              <w:right w:val="single" w:sz="6" w:space="0" w:color="000000"/>
            </w:tcBorders>
            <w:vAlign w:val="center"/>
            <w:hideMark/>
          </w:tcPr>
          <w:p w:rsidR="00BB76A9" w:rsidRPr="00BB76A9" w:rsidRDefault="00BB76A9" w:rsidP="00BB76A9">
            <w:pPr>
              <w:spacing w:after="0" w:line="240" w:lineRule="auto"/>
              <w:jc w:val="both"/>
              <w:rPr>
                <w:rFonts w:eastAsia="Times New Roman" w:cstheme="minorHAnsi"/>
                <w:sz w:val="24"/>
                <w:szCs w:val="24"/>
                <w:lang w:eastAsia="fr-FR"/>
              </w:rPr>
            </w:pPr>
            <w:r w:rsidRPr="00BB76A9">
              <w:rPr>
                <w:rFonts w:eastAsia="Times New Roman" w:cstheme="minorHAnsi"/>
                <w:b/>
                <w:bCs/>
                <w:sz w:val="24"/>
                <w:szCs w:val="24"/>
                <w:lang w:eastAsia="fr-FR"/>
              </w:rPr>
              <w:t>Type d’opérateur </w:t>
            </w:r>
          </w:p>
        </w:tc>
        <w:tc>
          <w:tcPr>
            <w:tcW w:w="3826" w:type="pct"/>
            <w:tcBorders>
              <w:top w:val="single" w:sz="6" w:space="0" w:color="000000"/>
              <w:left w:val="single" w:sz="6" w:space="0" w:color="000000"/>
              <w:bottom w:val="single" w:sz="6" w:space="0" w:color="000000"/>
              <w:right w:val="single" w:sz="6" w:space="0" w:color="000000"/>
            </w:tcBorders>
            <w:vAlign w:val="center"/>
            <w:hideMark/>
          </w:tcPr>
          <w:p w:rsidR="00BB76A9" w:rsidRPr="00BB76A9" w:rsidRDefault="00BB76A9" w:rsidP="00BB76A9">
            <w:pPr>
              <w:spacing w:after="0" w:line="240" w:lineRule="auto"/>
              <w:jc w:val="both"/>
              <w:rPr>
                <w:rFonts w:eastAsia="Times New Roman" w:cstheme="minorHAnsi"/>
                <w:sz w:val="24"/>
                <w:szCs w:val="24"/>
                <w:lang w:eastAsia="fr-FR"/>
              </w:rPr>
            </w:pPr>
            <w:r w:rsidRPr="00BB76A9">
              <w:rPr>
                <w:rFonts w:eastAsia="Times New Roman" w:cstheme="minorHAnsi"/>
                <w:sz w:val="24"/>
                <w:szCs w:val="24"/>
                <w:lang w:eastAsia="fr-FR"/>
              </w:rPr>
              <w:t>Personne physique ou morale après de laquelle est effectuée la demande de restitution : maison de vente, site internet, libraire, particulier. </w:t>
            </w:r>
          </w:p>
        </w:tc>
      </w:tr>
      <w:tr w:rsidR="00BB76A9" w:rsidRPr="00BB76A9" w:rsidTr="000F253A">
        <w:tc>
          <w:tcPr>
            <w:tcW w:w="1174" w:type="pct"/>
            <w:tcBorders>
              <w:top w:val="single" w:sz="6" w:space="0" w:color="000000"/>
              <w:left w:val="single" w:sz="6" w:space="0" w:color="000000"/>
              <w:bottom w:val="single" w:sz="6" w:space="0" w:color="000000"/>
              <w:right w:val="single" w:sz="6" w:space="0" w:color="000000"/>
            </w:tcBorders>
            <w:vAlign w:val="center"/>
            <w:hideMark/>
          </w:tcPr>
          <w:p w:rsidR="00BB76A9" w:rsidRPr="00BB76A9" w:rsidRDefault="00BB76A9" w:rsidP="00BB76A9">
            <w:pPr>
              <w:spacing w:after="0" w:line="240" w:lineRule="auto"/>
              <w:jc w:val="both"/>
              <w:rPr>
                <w:rFonts w:eastAsia="Times New Roman" w:cstheme="minorHAnsi"/>
                <w:sz w:val="24"/>
                <w:szCs w:val="24"/>
                <w:lang w:eastAsia="fr-FR"/>
              </w:rPr>
            </w:pPr>
            <w:r w:rsidRPr="00BB76A9">
              <w:rPr>
                <w:rFonts w:eastAsia="Times New Roman" w:cstheme="minorHAnsi"/>
                <w:b/>
                <w:bCs/>
                <w:sz w:val="24"/>
                <w:szCs w:val="24"/>
                <w:lang w:eastAsia="fr-FR"/>
              </w:rPr>
              <w:t> Nombre de lots</w:t>
            </w:r>
          </w:p>
        </w:tc>
        <w:tc>
          <w:tcPr>
            <w:tcW w:w="3826" w:type="pct"/>
            <w:tcBorders>
              <w:top w:val="single" w:sz="6" w:space="0" w:color="000000"/>
              <w:left w:val="single" w:sz="6" w:space="0" w:color="000000"/>
              <w:bottom w:val="single" w:sz="6" w:space="0" w:color="000000"/>
              <w:right w:val="single" w:sz="6" w:space="0" w:color="000000"/>
            </w:tcBorders>
            <w:vAlign w:val="center"/>
            <w:hideMark/>
          </w:tcPr>
          <w:p w:rsidR="00BB76A9" w:rsidRPr="00BB76A9" w:rsidRDefault="00BB76A9" w:rsidP="00BB76A9">
            <w:pPr>
              <w:spacing w:after="0" w:line="240" w:lineRule="auto"/>
              <w:jc w:val="both"/>
              <w:rPr>
                <w:rFonts w:eastAsia="Times New Roman" w:cstheme="minorHAnsi"/>
                <w:sz w:val="24"/>
                <w:szCs w:val="24"/>
                <w:lang w:eastAsia="fr-FR"/>
              </w:rPr>
            </w:pPr>
            <w:r w:rsidRPr="00BB76A9">
              <w:rPr>
                <w:rFonts w:eastAsia="Times New Roman" w:cstheme="minorHAnsi"/>
                <w:sz w:val="24"/>
                <w:szCs w:val="24"/>
                <w:lang w:eastAsia="fr-FR"/>
              </w:rPr>
              <w:t>Un lot proposé à la vente comporte un ou plusieurs documents. Il s’agit du nombre de lots visés par la demande de restitution – certaines actions ne touchant qu’une partie d’un lot proposé à la vente. </w:t>
            </w:r>
          </w:p>
        </w:tc>
      </w:tr>
      <w:tr w:rsidR="00BB76A9" w:rsidRPr="00BB76A9" w:rsidTr="000F253A">
        <w:tc>
          <w:tcPr>
            <w:tcW w:w="1174" w:type="pct"/>
            <w:tcBorders>
              <w:top w:val="single" w:sz="6" w:space="0" w:color="000000"/>
              <w:left w:val="single" w:sz="6" w:space="0" w:color="000000"/>
              <w:bottom w:val="single" w:sz="6" w:space="0" w:color="000000"/>
              <w:right w:val="single" w:sz="6" w:space="0" w:color="000000"/>
            </w:tcBorders>
            <w:vAlign w:val="center"/>
            <w:hideMark/>
          </w:tcPr>
          <w:p w:rsidR="00BB76A9" w:rsidRPr="00BB76A9" w:rsidRDefault="00BB76A9" w:rsidP="00BB76A9">
            <w:pPr>
              <w:spacing w:after="0" w:line="240" w:lineRule="auto"/>
              <w:jc w:val="both"/>
              <w:rPr>
                <w:rFonts w:eastAsia="Times New Roman" w:cstheme="minorHAnsi"/>
                <w:sz w:val="24"/>
                <w:szCs w:val="24"/>
                <w:lang w:eastAsia="fr-FR"/>
              </w:rPr>
            </w:pPr>
            <w:r w:rsidRPr="00BB76A9">
              <w:rPr>
                <w:rFonts w:eastAsia="Times New Roman" w:cstheme="minorHAnsi"/>
                <w:b/>
                <w:bCs/>
                <w:sz w:val="24"/>
                <w:szCs w:val="24"/>
                <w:lang w:eastAsia="fr-FR"/>
              </w:rPr>
              <w:t> Description</w:t>
            </w:r>
          </w:p>
        </w:tc>
        <w:tc>
          <w:tcPr>
            <w:tcW w:w="3826" w:type="pct"/>
            <w:tcBorders>
              <w:top w:val="single" w:sz="6" w:space="0" w:color="000000"/>
              <w:left w:val="single" w:sz="6" w:space="0" w:color="000000"/>
              <w:bottom w:val="single" w:sz="6" w:space="0" w:color="000000"/>
              <w:right w:val="single" w:sz="6" w:space="0" w:color="000000"/>
            </w:tcBorders>
            <w:vAlign w:val="center"/>
            <w:hideMark/>
          </w:tcPr>
          <w:p w:rsidR="00BB76A9" w:rsidRPr="00BB76A9" w:rsidRDefault="00BB76A9" w:rsidP="00BB76A9">
            <w:pPr>
              <w:spacing w:after="0" w:line="240" w:lineRule="auto"/>
              <w:jc w:val="both"/>
              <w:rPr>
                <w:rFonts w:eastAsia="Times New Roman" w:cstheme="minorHAnsi"/>
                <w:sz w:val="24"/>
                <w:szCs w:val="24"/>
                <w:lang w:eastAsia="fr-FR"/>
              </w:rPr>
            </w:pPr>
            <w:r w:rsidRPr="00BB76A9">
              <w:rPr>
                <w:rFonts w:eastAsia="Times New Roman" w:cstheme="minorHAnsi"/>
                <w:sz w:val="24"/>
                <w:szCs w:val="24"/>
                <w:lang w:eastAsia="fr-FR"/>
              </w:rPr>
              <w:t> Intitulé et description des documents.</w:t>
            </w:r>
          </w:p>
        </w:tc>
      </w:tr>
      <w:tr w:rsidR="00BB76A9" w:rsidRPr="00BB76A9" w:rsidTr="000F253A">
        <w:tc>
          <w:tcPr>
            <w:tcW w:w="1174" w:type="pct"/>
            <w:tcBorders>
              <w:top w:val="single" w:sz="6" w:space="0" w:color="000000"/>
              <w:left w:val="single" w:sz="6" w:space="0" w:color="000000"/>
              <w:bottom w:val="single" w:sz="6" w:space="0" w:color="000000"/>
              <w:right w:val="single" w:sz="6" w:space="0" w:color="000000"/>
            </w:tcBorders>
            <w:vAlign w:val="center"/>
            <w:hideMark/>
          </w:tcPr>
          <w:p w:rsidR="00BB76A9" w:rsidRPr="00BB76A9" w:rsidRDefault="00BB76A9" w:rsidP="00BB76A9">
            <w:pPr>
              <w:spacing w:after="0" w:line="240" w:lineRule="auto"/>
              <w:jc w:val="both"/>
              <w:rPr>
                <w:rFonts w:eastAsia="Times New Roman" w:cstheme="minorHAnsi"/>
                <w:sz w:val="24"/>
                <w:szCs w:val="24"/>
                <w:lang w:eastAsia="fr-FR"/>
              </w:rPr>
            </w:pPr>
            <w:r w:rsidRPr="00BB76A9">
              <w:rPr>
                <w:rFonts w:eastAsia="Times New Roman" w:cstheme="minorHAnsi"/>
                <w:b/>
                <w:bCs/>
                <w:sz w:val="24"/>
                <w:szCs w:val="24"/>
                <w:lang w:eastAsia="fr-FR"/>
              </w:rPr>
              <w:t> Typologie documentaire</w:t>
            </w:r>
          </w:p>
        </w:tc>
        <w:tc>
          <w:tcPr>
            <w:tcW w:w="3826" w:type="pct"/>
            <w:tcBorders>
              <w:top w:val="single" w:sz="6" w:space="0" w:color="000000"/>
              <w:left w:val="single" w:sz="6" w:space="0" w:color="000000"/>
              <w:bottom w:val="single" w:sz="6" w:space="0" w:color="000000"/>
              <w:right w:val="single" w:sz="6" w:space="0" w:color="000000"/>
            </w:tcBorders>
            <w:vAlign w:val="center"/>
            <w:hideMark/>
          </w:tcPr>
          <w:p w:rsidR="00BB76A9" w:rsidRPr="00BB76A9" w:rsidRDefault="00BB76A9" w:rsidP="00BB76A9">
            <w:pPr>
              <w:spacing w:after="0" w:line="240" w:lineRule="auto"/>
              <w:jc w:val="both"/>
              <w:rPr>
                <w:rFonts w:eastAsia="Times New Roman" w:cstheme="minorHAnsi"/>
                <w:sz w:val="24"/>
                <w:szCs w:val="24"/>
                <w:lang w:eastAsia="fr-FR"/>
              </w:rPr>
            </w:pPr>
            <w:r w:rsidRPr="00BB76A9">
              <w:rPr>
                <w:rFonts w:eastAsia="Times New Roman" w:cstheme="minorHAnsi"/>
                <w:sz w:val="24"/>
                <w:szCs w:val="24"/>
                <w:lang w:eastAsia="fr-FR"/>
              </w:rPr>
              <w:t> Plusieurs typologies documentaires ont été retenues : archives administratives [</w:t>
            </w:r>
            <w:r w:rsidRPr="00BB76A9">
              <w:rPr>
                <w:rFonts w:eastAsia="Times New Roman" w:cstheme="minorHAnsi"/>
                <w:i/>
                <w:iCs/>
                <w:sz w:val="24"/>
                <w:szCs w:val="24"/>
                <w:lang w:eastAsia="fr-FR"/>
              </w:rPr>
              <w:t>arch. Adm</w:t>
            </w:r>
            <w:r w:rsidRPr="00BB76A9">
              <w:rPr>
                <w:rFonts w:eastAsia="Times New Roman" w:cstheme="minorHAnsi"/>
                <w:sz w:val="24"/>
                <w:szCs w:val="24"/>
                <w:lang w:eastAsia="fr-FR"/>
              </w:rPr>
              <w:t>.] (correspondance, rapports, notes y compris en format manuscrit ou à l’état de brouillon, produits ou échangés entre personnes exerçant une fonction publique et traitant de la conduite des affaires publiques), archives notariales [</w:t>
            </w:r>
            <w:r w:rsidRPr="00BB76A9">
              <w:rPr>
                <w:rFonts w:eastAsia="Times New Roman" w:cstheme="minorHAnsi"/>
                <w:i/>
                <w:iCs/>
                <w:sz w:val="24"/>
                <w:szCs w:val="24"/>
                <w:lang w:eastAsia="fr-FR"/>
              </w:rPr>
              <w:t>arch. not</w:t>
            </w:r>
            <w:r w:rsidRPr="00BB76A9">
              <w:rPr>
                <w:rFonts w:eastAsia="Times New Roman" w:cstheme="minorHAnsi"/>
                <w:sz w:val="24"/>
                <w:szCs w:val="24"/>
                <w:lang w:eastAsia="fr-FR"/>
              </w:rPr>
              <w:t xml:space="preserve">.] (en dehors des dossiers clients), </w:t>
            </w:r>
            <w:r w:rsidRPr="00BB76A9">
              <w:rPr>
                <w:rFonts w:eastAsia="Times New Roman" w:cstheme="minorHAnsi"/>
                <w:i/>
                <w:iCs/>
                <w:sz w:val="24"/>
                <w:szCs w:val="24"/>
                <w:lang w:eastAsia="fr-FR"/>
              </w:rPr>
              <w:t>archives familiales et personnelles,</w:t>
            </w:r>
            <w:r w:rsidRPr="00BB76A9">
              <w:rPr>
                <w:rFonts w:eastAsia="Times New Roman" w:cstheme="minorHAnsi"/>
                <w:sz w:val="24"/>
                <w:szCs w:val="24"/>
                <w:lang w:eastAsia="fr-FR"/>
              </w:rPr>
              <w:t xml:space="preserve"> </w:t>
            </w:r>
            <w:r w:rsidRPr="00BB76A9">
              <w:rPr>
                <w:rFonts w:eastAsia="Times New Roman" w:cstheme="minorHAnsi"/>
                <w:i/>
                <w:iCs/>
                <w:sz w:val="24"/>
                <w:szCs w:val="24"/>
                <w:lang w:eastAsia="fr-FR"/>
              </w:rPr>
              <w:t>papiers de fonction</w:t>
            </w:r>
            <w:r w:rsidRPr="00BB76A9">
              <w:rPr>
                <w:rFonts w:eastAsia="Times New Roman" w:cstheme="minorHAnsi"/>
                <w:sz w:val="24"/>
                <w:szCs w:val="24"/>
                <w:lang w:eastAsia="fr-FR"/>
              </w:rPr>
              <w:t xml:space="preserve"> (archives produites par une personne dans l’exercice de ses fonctions publiques), </w:t>
            </w:r>
            <w:r w:rsidRPr="00BB76A9">
              <w:rPr>
                <w:rFonts w:eastAsia="Times New Roman" w:cstheme="minorHAnsi"/>
                <w:i/>
                <w:iCs/>
                <w:sz w:val="24"/>
                <w:szCs w:val="24"/>
                <w:lang w:eastAsia="fr-FR"/>
              </w:rPr>
              <w:t>iconographie</w:t>
            </w:r>
            <w:r w:rsidRPr="00BB76A9">
              <w:rPr>
                <w:rFonts w:eastAsia="Times New Roman" w:cstheme="minorHAnsi"/>
                <w:sz w:val="24"/>
                <w:szCs w:val="24"/>
                <w:lang w:eastAsia="fr-FR"/>
              </w:rPr>
              <w:t xml:space="preserve"> (cartes, plans, dessins, …), registres paroissiaux et d’état civil [</w:t>
            </w:r>
            <w:r w:rsidRPr="00BB76A9">
              <w:rPr>
                <w:rFonts w:eastAsia="Times New Roman" w:cstheme="minorHAnsi"/>
                <w:i/>
                <w:iCs/>
                <w:sz w:val="24"/>
                <w:szCs w:val="24"/>
                <w:lang w:eastAsia="fr-FR"/>
              </w:rPr>
              <w:t>état civil</w:t>
            </w:r>
            <w:r w:rsidRPr="00BB76A9">
              <w:rPr>
                <w:rFonts w:eastAsia="Times New Roman" w:cstheme="minorHAnsi"/>
                <w:sz w:val="24"/>
                <w:szCs w:val="24"/>
                <w:lang w:eastAsia="fr-FR"/>
              </w:rPr>
              <w:t xml:space="preserve">], </w:t>
            </w:r>
            <w:r w:rsidRPr="00BB76A9">
              <w:rPr>
                <w:rFonts w:eastAsia="Times New Roman" w:cstheme="minorHAnsi"/>
                <w:i/>
                <w:iCs/>
                <w:sz w:val="24"/>
                <w:szCs w:val="24"/>
                <w:lang w:eastAsia="fr-FR"/>
              </w:rPr>
              <w:t>composite</w:t>
            </w:r>
            <w:r w:rsidRPr="00BB76A9">
              <w:rPr>
                <w:rFonts w:eastAsia="Times New Roman" w:cstheme="minorHAnsi"/>
                <w:sz w:val="24"/>
                <w:szCs w:val="24"/>
                <w:lang w:eastAsia="fr-FR"/>
              </w:rPr>
              <w:t xml:space="preserve"> (mélange de différentes catégories documentaires).</w:t>
            </w:r>
          </w:p>
        </w:tc>
      </w:tr>
      <w:tr w:rsidR="00BB76A9" w:rsidRPr="00BB76A9" w:rsidTr="000F253A">
        <w:tc>
          <w:tcPr>
            <w:tcW w:w="1174" w:type="pct"/>
            <w:tcBorders>
              <w:top w:val="single" w:sz="6" w:space="0" w:color="000000"/>
              <w:left w:val="single" w:sz="6" w:space="0" w:color="000000"/>
              <w:bottom w:val="single" w:sz="6" w:space="0" w:color="000000"/>
              <w:right w:val="single" w:sz="6" w:space="0" w:color="000000"/>
            </w:tcBorders>
            <w:vAlign w:val="center"/>
            <w:hideMark/>
          </w:tcPr>
          <w:p w:rsidR="00BB76A9" w:rsidRPr="00BB76A9" w:rsidRDefault="00BB76A9" w:rsidP="00BB76A9">
            <w:pPr>
              <w:spacing w:after="0" w:line="240" w:lineRule="auto"/>
              <w:jc w:val="both"/>
              <w:rPr>
                <w:rFonts w:eastAsia="Times New Roman" w:cstheme="minorHAnsi"/>
                <w:sz w:val="24"/>
                <w:szCs w:val="24"/>
                <w:lang w:eastAsia="fr-FR"/>
              </w:rPr>
            </w:pPr>
            <w:r w:rsidRPr="00BB76A9">
              <w:rPr>
                <w:rFonts w:eastAsia="Times New Roman" w:cstheme="minorHAnsi"/>
                <w:b/>
                <w:bCs/>
                <w:sz w:val="24"/>
                <w:szCs w:val="24"/>
                <w:lang w:eastAsia="fr-FR"/>
              </w:rPr>
              <w:lastRenderedPageBreak/>
              <w:t>Période chronologique </w:t>
            </w:r>
          </w:p>
        </w:tc>
        <w:tc>
          <w:tcPr>
            <w:tcW w:w="3826" w:type="pct"/>
            <w:tcBorders>
              <w:top w:val="single" w:sz="6" w:space="0" w:color="000000"/>
              <w:left w:val="single" w:sz="6" w:space="0" w:color="000000"/>
              <w:bottom w:val="single" w:sz="6" w:space="0" w:color="000000"/>
              <w:right w:val="single" w:sz="6" w:space="0" w:color="000000"/>
            </w:tcBorders>
            <w:vAlign w:val="center"/>
            <w:hideMark/>
          </w:tcPr>
          <w:p w:rsidR="00BB76A9" w:rsidRPr="00BB76A9" w:rsidRDefault="00BB76A9" w:rsidP="00BB76A9">
            <w:pPr>
              <w:spacing w:after="0" w:line="240" w:lineRule="auto"/>
              <w:jc w:val="both"/>
              <w:rPr>
                <w:rFonts w:eastAsia="Times New Roman" w:cstheme="minorHAnsi"/>
                <w:sz w:val="24"/>
                <w:szCs w:val="24"/>
                <w:lang w:eastAsia="fr-FR"/>
              </w:rPr>
            </w:pPr>
            <w:r w:rsidRPr="00BB76A9">
              <w:rPr>
                <w:rFonts w:eastAsia="Times New Roman" w:cstheme="minorHAnsi"/>
                <w:sz w:val="24"/>
                <w:szCs w:val="24"/>
                <w:lang w:eastAsia="fr-FR"/>
              </w:rPr>
              <w:t> Plusieurs périodes chronologiques ont été définies : Ancien Régime (jusqu’en 1789), Révolution-Empire (1789-1815), 19</w:t>
            </w:r>
            <w:r w:rsidRPr="00BB76A9">
              <w:rPr>
                <w:rFonts w:eastAsia="Times New Roman" w:cstheme="minorHAnsi"/>
                <w:sz w:val="24"/>
                <w:szCs w:val="24"/>
                <w:vertAlign w:val="superscript"/>
                <w:lang w:eastAsia="fr-FR"/>
              </w:rPr>
              <w:t>e</w:t>
            </w:r>
            <w:r w:rsidRPr="00BB76A9">
              <w:rPr>
                <w:rFonts w:eastAsia="Times New Roman" w:cstheme="minorHAnsi"/>
                <w:sz w:val="24"/>
                <w:szCs w:val="24"/>
                <w:lang w:eastAsia="fr-FR"/>
              </w:rPr>
              <w:t>-20</w:t>
            </w:r>
            <w:r w:rsidRPr="00BB76A9">
              <w:rPr>
                <w:rFonts w:eastAsia="Times New Roman" w:cstheme="minorHAnsi"/>
                <w:sz w:val="24"/>
                <w:szCs w:val="24"/>
                <w:vertAlign w:val="superscript"/>
                <w:lang w:eastAsia="fr-FR"/>
              </w:rPr>
              <w:t>e</w:t>
            </w:r>
            <w:r w:rsidRPr="00BB76A9">
              <w:rPr>
                <w:rFonts w:eastAsia="Times New Roman" w:cstheme="minorHAnsi"/>
                <w:sz w:val="24"/>
                <w:szCs w:val="24"/>
                <w:lang w:eastAsia="fr-FR"/>
              </w:rPr>
              <w:t xml:space="preserve"> siècles (1815-1999), période contemporaine (21</w:t>
            </w:r>
            <w:r w:rsidRPr="00BB76A9">
              <w:rPr>
                <w:rFonts w:eastAsia="Times New Roman" w:cstheme="minorHAnsi"/>
                <w:sz w:val="24"/>
                <w:szCs w:val="24"/>
                <w:vertAlign w:val="superscript"/>
                <w:lang w:eastAsia="fr-FR"/>
              </w:rPr>
              <w:t>e</w:t>
            </w:r>
            <w:r w:rsidRPr="00BB76A9">
              <w:rPr>
                <w:rFonts w:eastAsia="Times New Roman" w:cstheme="minorHAnsi"/>
                <w:sz w:val="24"/>
                <w:szCs w:val="24"/>
                <w:lang w:eastAsia="fr-FR"/>
              </w:rPr>
              <w:t xml:space="preserve"> s.), composite (combinaison de plusieurs périodes).</w:t>
            </w:r>
          </w:p>
        </w:tc>
      </w:tr>
      <w:tr w:rsidR="00BB76A9" w:rsidRPr="00BB76A9" w:rsidTr="000F253A">
        <w:tc>
          <w:tcPr>
            <w:tcW w:w="1174" w:type="pct"/>
            <w:tcBorders>
              <w:top w:val="single" w:sz="6" w:space="0" w:color="000000"/>
              <w:left w:val="single" w:sz="6" w:space="0" w:color="000000"/>
              <w:bottom w:val="single" w:sz="6" w:space="0" w:color="000000"/>
              <w:right w:val="single" w:sz="6" w:space="0" w:color="000000"/>
            </w:tcBorders>
            <w:vAlign w:val="center"/>
            <w:hideMark/>
          </w:tcPr>
          <w:p w:rsidR="00BB76A9" w:rsidRPr="00BB76A9" w:rsidRDefault="00BB76A9" w:rsidP="00BB76A9">
            <w:pPr>
              <w:spacing w:after="0" w:line="240" w:lineRule="auto"/>
              <w:jc w:val="both"/>
              <w:rPr>
                <w:rFonts w:eastAsia="Times New Roman" w:cstheme="minorHAnsi"/>
                <w:sz w:val="24"/>
                <w:szCs w:val="24"/>
                <w:lang w:eastAsia="fr-FR"/>
              </w:rPr>
            </w:pPr>
            <w:r w:rsidRPr="00BB76A9">
              <w:rPr>
                <w:rFonts w:eastAsia="Times New Roman" w:cstheme="minorHAnsi"/>
                <w:b/>
                <w:bCs/>
                <w:sz w:val="24"/>
                <w:szCs w:val="24"/>
                <w:lang w:eastAsia="fr-FR"/>
              </w:rPr>
              <w:t>Service instructeur</w:t>
            </w:r>
          </w:p>
        </w:tc>
        <w:tc>
          <w:tcPr>
            <w:tcW w:w="3826" w:type="pct"/>
            <w:tcBorders>
              <w:top w:val="single" w:sz="6" w:space="0" w:color="000000"/>
              <w:left w:val="single" w:sz="6" w:space="0" w:color="000000"/>
              <w:bottom w:val="single" w:sz="6" w:space="0" w:color="000000"/>
              <w:right w:val="single" w:sz="6" w:space="0" w:color="000000"/>
            </w:tcBorders>
            <w:vAlign w:val="center"/>
            <w:hideMark/>
          </w:tcPr>
          <w:p w:rsidR="00BB76A9" w:rsidRPr="00BB76A9" w:rsidRDefault="00BB76A9" w:rsidP="00BB76A9">
            <w:pPr>
              <w:spacing w:after="0" w:line="240" w:lineRule="auto"/>
              <w:jc w:val="both"/>
              <w:rPr>
                <w:rFonts w:eastAsia="Times New Roman" w:cstheme="minorHAnsi"/>
                <w:sz w:val="24"/>
                <w:szCs w:val="24"/>
                <w:lang w:eastAsia="fr-FR"/>
              </w:rPr>
            </w:pPr>
            <w:r w:rsidRPr="00BB76A9">
              <w:rPr>
                <w:rFonts w:eastAsia="Times New Roman" w:cstheme="minorHAnsi"/>
                <w:sz w:val="24"/>
                <w:szCs w:val="24"/>
                <w:lang w:eastAsia="fr-FR"/>
              </w:rPr>
              <w:t>Service ayant émis et géré la demande de restitution : Service interministériel des Archives de France (SIAF), Ministère de l’Europe et des Affaires étrangères (MEAE), Direction du patrimoine, de la mémoire et de archives (DPMA), Archives départementales (AD), Archives municipales (AM), autres (autres institutions publiques : Institut de France, Académie des sciences, ….)</w:t>
            </w:r>
          </w:p>
        </w:tc>
      </w:tr>
      <w:tr w:rsidR="00BB76A9" w:rsidRPr="00BB76A9" w:rsidTr="000F253A">
        <w:tc>
          <w:tcPr>
            <w:tcW w:w="1174" w:type="pct"/>
            <w:tcBorders>
              <w:top w:val="single" w:sz="6" w:space="0" w:color="000000"/>
              <w:left w:val="single" w:sz="6" w:space="0" w:color="000000"/>
              <w:bottom w:val="single" w:sz="6" w:space="0" w:color="000000"/>
              <w:right w:val="single" w:sz="6" w:space="0" w:color="000000"/>
            </w:tcBorders>
            <w:vAlign w:val="center"/>
            <w:hideMark/>
          </w:tcPr>
          <w:p w:rsidR="00BB76A9" w:rsidRPr="00BB76A9" w:rsidRDefault="00BB76A9" w:rsidP="00BB76A9">
            <w:pPr>
              <w:spacing w:after="0" w:line="240" w:lineRule="auto"/>
              <w:jc w:val="both"/>
              <w:rPr>
                <w:rFonts w:eastAsia="Times New Roman" w:cstheme="minorHAnsi"/>
                <w:sz w:val="24"/>
                <w:szCs w:val="24"/>
                <w:lang w:eastAsia="fr-FR"/>
              </w:rPr>
            </w:pPr>
            <w:r w:rsidRPr="00BB76A9">
              <w:rPr>
                <w:rFonts w:eastAsia="Times New Roman" w:cstheme="minorHAnsi"/>
                <w:b/>
                <w:bCs/>
                <w:sz w:val="24"/>
                <w:szCs w:val="24"/>
                <w:lang w:eastAsia="fr-FR"/>
              </w:rPr>
              <w:t>Service destinataire</w:t>
            </w:r>
          </w:p>
        </w:tc>
        <w:tc>
          <w:tcPr>
            <w:tcW w:w="3826" w:type="pct"/>
            <w:tcBorders>
              <w:top w:val="single" w:sz="6" w:space="0" w:color="000000"/>
              <w:left w:val="single" w:sz="6" w:space="0" w:color="000000"/>
              <w:bottom w:val="single" w:sz="6" w:space="0" w:color="000000"/>
              <w:right w:val="single" w:sz="6" w:space="0" w:color="000000"/>
            </w:tcBorders>
            <w:vAlign w:val="center"/>
            <w:hideMark/>
          </w:tcPr>
          <w:p w:rsidR="00BB76A9" w:rsidRPr="00BB76A9" w:rsidRDefault="00BB76A9" w:rsidP="00BB76A9">
            <w:pPr>
              <w:spacing w:after="0" w:line="240" w:lineRule="auto"/>
              <w:jc w:val="both"/>
              <w:rPr>
                <w:rFonts w:eastAsia="Times New Roman" w:cstheme="minorHAnsi"/>
                <w:sz w:val="24"/>
                <w:szCs w:val="24"/>
                <w:lang w:eastAsia="fr-FR"/>
              </w:rPr>
            </w:pPr>
            <w:r w:rsidRPr="00BB76A9">
              <w:rPr>
                <w:rFonts w:eastAsia="Times New Roman" w:cstheme="minorHAnsi"/>
                <w:sz w:val="24"/>
                <w:szCs w:val="24"/>
                <w:lang w:eastAsia="fr-FR"/>
              </w:rPr>
              <w:t>Service destinataire des lots restitués en raison de la provenance des archives : Archives nationales (AN), Archives départementales (AD), Archives municipales (AM), autres (autres institutions publiques : Institut de France, Académie des sciences, ….)</w:t>
            </w:r>
          </w:p>
        </w:tc>
      </w:tr>
      <w:tr w:rsidR="00BB76A9" w:rsidRPr="00BB76A9" w:rsidTr="000F253A">
        <w:tc>
          <w:tcPr>
            <w:tcW w:w="1174" w:type="pct"/>
            <w:tcBorders>
              <w:top w:val="single" w:sz="6" w:space="0" w:color="000000"/>
              <w:left w:val="single" w:sz="6" w:space="0" w:color="000000"/>
              <w:bottom w:val="single" w:sz="6" w:space="0" w:color="000000"/>
              <w:right w:val="single" w:sz="6" w:space="0" w:color="000000"/>
            </w:tcBorders>
            <w:vAlign w:val="center"/>
            <w:hideMark/>
          </w:tcPr>
          <w:p w:rsidR="00BB76A9" w:rsidRPr="00BB76A9" w:rsidRDefault="00BB76A9" w:rsidP="00BB76A9">
            <w:pPr>
              <w:spacing w:after="0" w:line="240" w:lineRule="auto"/>
              <w:jc w:val="both"/>
              <w:rPr>
                <w:rFonts w:eastAsia="Times New Roman" w:cstheme="minorHAnsi"/>
                <w:sz w:val="24"/>
                <w:szCs w:val="24"/>
                <w:lang w:eastAsia="fr-FR"/>
              </w:rPr>
            </w:pPr>
            <w:r w:rsidRPr="00BB76A9">
              <w:rPr>
                <w:rFonts w:eastAsia="Times New Roman" w:cstheme="minorHAnsi"/>
                <w:b/>
                <w:bCs/>
                <w:sz w:val="24"/>
                <w:szCs w:val="24"/>
                <w:lang w:eastAsia="fr-FR"/>
              </w:rPr>
              <w:t>Issue de l’action</w:t>
            </w:r>
          </w:p>
        </w:tc>
        <w:tc>
          <w:tcPr>
            <w:tcW w:w="3826" w:type="pct"/>
            <w:tcBorders>
              <w:top w:val="single" w:sz="6" w:space="0" w:color="000000"/>
              <w:left w:val="single" w:sz="6" w:space="0" w:color="000000"/>
              <w:bottom w:val="single" w:sz="6" w:space="0" w:color="000000"/>
              <w:right w:val="single" w:sz="6" w:space="0" w:color="000000"/>
            </w:tcBorders>
            <w:vAlign w:val="center"/>
            <w:hideMark/>
          </w:tcPr>
          <w:p w:rsidR="00BB76A9" w:rsidRPr="00BB76A9" w:rsidRDefault="00BB76A9" w:rsidP="00BB76A9">
            <w:pPr>
              <w:spacing w:after="0" w:line="240" w:lineRule="auto"/>
              <w:jc w:val="both"/>
              <w:rPr>
                <w:rFonts w:eastAsia="Times New Roman" w:cstheme="minorHAnsi"/>
                <w:sz w:val="24"/>
                <w:szCs w:val="24"/>
                <w:lang w:eastAsia="fr-FR"/>
              </w:rPr>
            </w:pPr>
            <w:r w:rsidRPr="00BB76A9">
              <w:rPr>
                <w:rFonts w:eastAsia="Times New Roman" w:cstheme="minorHAnsi"/>
                <w:sz w:val="24"/>
                <w:szCs w:val="24"/>
                <w:lang w:eastAsia="fr-FR"/>
              </w:rPr>
              <w:t>Clôture finale de l’action : restitution effective au service destinataire (action achevée définitivement), négociation en cours, abandon (du fait de la non-pertinence de l’action après vérification), contentieux.</w:t>
            </w:r>
          </w:p>
        </w:tc>
      </w:tr>
    </w:tbl>
    <w:p w:rsidR="00BB76A9" w:rsidRPr="00BB76A9" w:rsidRDefault="00BB76A9" w:rsidP="00BB76A9">
      <w:pPr>
        <w:jc w:val="both"/>
        <w:rPr>
          <w:rFonts w:cstheme="minorHAnsi"/>
        </w:rPr>
      </w:pPr>
    </w:p>
    <w:sectPr w:rsidR="00BB76A9" w:rsidRPr="00BB7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A9"/>
    <w:rsid w:val="000F253A"/>
    <w:rsid w:val="005B586C"/>
    <w:rsid w:val="008366DB"/>
    <w:rsid w:val="00BB7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8856"/>
  <w15:chartTrackingRefBased/>
  <w15:docId w15:val="{2E4ECE88-1AD8-4BE2-B561-6E6690D6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B76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76A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BB76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B76A9"/>
    <w:rPr>
      <w:color w:val="0000FF"/>
      <w:u w:val="single"/>
    </w:rPr>
  </w:style>
  <w:style w:type="character" w:styleId="lev">
    <w:name w:val="Strong"/>
    <w:basedOn w:val="Policepardfaut"/>
    <w:uiPriority w:val="22"/>
    <w:qFormat/>
    <w:rsid w:val="00BB76A9"/>
    <w:rPr>
      <w:b/>
      <w:bCs/>
    </w:rPr>
  </w:style>
  <w:style w:type="character" w:styleId="Accentuation">
    <w:name w:val="Emphasis"/>
    <w:basedOn w:val="Policepardfaut"/>
    <w:uiPriority w:val="20"/>
    <w:qFormat/>
    <w:rsid w:val="00BB76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7859">
      <w:bodyDiv w:val="1"/>
      <w:marLeft w:val="0"/>
      <w:marRight w:val="0"/>
      <w:marTop w:val="0"/>
      <w:marBottom w:val="0"/>
      <w:divBdr>
        <w:top w:val="none" w:sz="0" w:space="0" w:color="auto"/>
        <w:left w:val="none" w:sz="0" w:space="0" w:color="auto"/>
        <w:bottom w:val="none" w:sz="0" w:space="0" w:color="auto"/>
        <w:right w:val="none" w:sz="0" w:space="0" w:color="auto"/>
      </w:divBdr>
      <w:divsChild>
        <w:div w:id="173962788">
          <w:marLeft w:val="0"/>
          <w:marRight w:val="0"/>
          <w:marTop w:val="0"/>
          <w:marBottom w:val="0"/>
          <w:divBdr>
            <w:top w:val="none" w:sz="0" w:space="0" w:color="auto"/>
            <w:left w:val="none" w:sz="0" w:space="0" w:color="auto"/>
            <w:bottom w:val="none" w:sz="0" w:space="0" w:color="auto"/>
            <w:right w:val="none" w:sz="0" w:space="0" w:color="auto"/>
          </w:divBdr>
        </w:div>
      </w:divsChild>
    </w:div>
    <w:div w:id="7390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2914</Characters>
  <Application>Microsoft Office Word</Application>
  <DocSecurity>0</DocSecurity>
  <Lines>24</Lines>
  <Paragraphs>6</Paragraphs>
  <ScaleCrop>false</ScaleCrop>
  <Company>Ministère de la Culture</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ALBIN-PORTIER Nathalie</dc:creator>
  <cp:keywords/>
  <dc:description/>
  <cp:lastModifiedBy>ALBIN-PORTIER Nathalie</cp:lastModifiedBy>
  <cp:revision>3</cp:revision>
  <dcterms:created xsi:type="dcterms:W3CDTF">2022-10-25T10:28:00Z</dcterms:created>
  <dcterms:modified xsi:type="dcterms:W3CDTF">2023-04-13T10:22:00Z</dcterms:modified>
</cp:coreProperties>
</file>