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5D" w:rsidRPr="005221DC" w:rsidRDefault="00EA5029" w:rsidP="005848C9">
      <w:pPr>
        <w:pStyle w:val="Titre1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Liste des </w:t>
      </w:r>
      <w:r w:rsidR="00A82E9C">
        <w:rPr>
          <w:sz w:val="36"/>
          <w:szCs w:val="36"/>
        </w:rPr>
        <w:t>médicaments et des substances dopantes</w:t>
      </w:r>
    </w:p>
    <w:p w:rsidR="00FE345D" w:rsidRPr="00E31E34" w:rsidRDefault="00FE345D">
      <w:r>
        <w:t xml:space="preserve"> </w:t>
      </w:r>
    </w:p>
    <w:p w:rsidR="00FE345D" w:rsidRPr="00E31E34" w:rsidRDefault="00FE345D" w:rsidP="00FE345D">
      <w:pPr>
        <w:pStyle w:val="Paragraphedeliste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E31E34">
        <w:rPr>
          <w:rFonts w:cs="Times New Roman"/>
          <w:b/>
          <w:sz w:val="28"/>
          <w:szCs w:val="28"/>
        </w:rPr>
        <w:t>Description générale</w:t>
      </w:r>
    </w:p>
    <w:p w:rsidR="00627CEA" w:rsidRDefault="00CD737B" w:rsidP="00CD737B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Généralités</w:t>
      </w:r>
    </w:p>
    <w:p w:rsidR="004271D9" w:rsidRDefault="004271D9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271D9">
        <w:rPr>
          <w:rFonts w:cs="Times New Roman"/>
          <w:sz w:val="24"/>
          <w:szCs w:val="24"/>
        </w:rPr>
        <w:t xml:space="preserve">Le </w:t>
      </w:r>
      <w:r>
        <w:rPr>
          <w:rFonts w:cs="Times New Roman"/>
          <w:sz w:val="24"/>
          <w:szCs w:val="24"/>
        </w:rPr>
        <w:t>ministère de la ville, de la jeunesse et des sports</w:t>
      </w:r>
      <w:r w:rsidRPr="004271D9">
        <w:rPr>
          <w:rFonts w:cs="Times New Roman"/>
          <w:sz w:val="24"/>
          <w:szCs w:val="24"/>
        </w:rPr>
        <w:t>, en liaison avec les autres ministres et organismes intéressés, engage et coordonne les actions de prévention, de surveillance médicale, de recherche et d'éducation mises en</w:t>
      </w:r>
      <w:r>
        <w:rPr>
          <w:rFonts w:cs="Times New Roman"/>
          <w:sz w:val="24"/>
          <w:szCs w:val="24"/>
        </w:rPr>
        <w:t xml:space="preserve"> œuvre</w:t>
      </w:r>
      <w:r w:rsidRPr="004271D9">
        <w:rPr>
          <w:rFonts w:cs="Times New Roman"/>
          <w:sz w:val="24"/>
          <w:szCs w:val="24"/>
        </w:rPr>
        <w:t xml:space="preserve"> avec le concours, notamment, des fédérations sportives agréées</w:t>
      </w:r>
      <w:r>
        <w:rPr>
          <w:rFonts w:cs="Times New Roman"/>
          <w:sz w:val="24"/>
          <w:szCs w:val="24"/>
        </w:rPr>
        <w:t>,</w:t>
      </w:r>
      <w:r w:rsidRPr="004271D9">
        <w:rPr>
          <w:rFonts w:cs="Times New Roman"/>
          <w:sz w:val="24"/>
          <w:szCs w:val="24"/>
        </w:rPr>
        <w:t xml:space="preserve"> pour assurer la protection de la santé des sportifs et lutter contre le dopage.</w:t>
      </w:r>
    </w:p>
    <w:p w:rsidR="004271D9" w:rsidRDefault="004271D9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6570F" w:rsidRDefault="006C58E6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L'Agence Française de Lutte contre le D</w:t>
      </w:r>
      <w:r w:rsidRPr="006C58E6">
        <w:rPr>
          <w:rFonts w:cs="Times New Roman"/>
          <w:sz w:val="24"/>
          <w:szCs w:val="24"/>
        </w:rPr>
        <w:t>opage</w:t>
      </w:r>
      <w:r>
        <w:rPr>
          <w:rFonts w:cs="Times New Roman"/>
          <w:sz w:val="24"/>
          <w:szCs w:val="24"/>
        </w:rPr>
        <w:t xml:space="preserve"> (AFLD)</w:t>
      </w:r>
      <w:r w:rsidRPr="006C58E6">
        <w:rPr>
          <w:rFonts w:cs="Times New Roman"/>
          <w:sz w:val="24"/>
          <w:szCs w:val="24"/>
        </w:rPr>
        <w:t xml:space="preserve">, autorité publique indépendante dotée de la personnalité morale, définit et met en </w:t>
      </w:r>
      <w:r>
        <w:rPr>
          <w:rFonts w:cs="Times New Roman"/>
          <w:sz w:val="24"/>
          <w:szCs w:val="24"/>
        </w:rPr>
        <w:t xml:space="preserve">œuvre </w:t>
      </w:r>
      <w:r w:rsidRPr="006C58E6">
        <w:rPr>
          <w:rFonts w:cs="Times New Roman"/>
          <w:sz w:val="24"/>
          <w:szCs w:val="24"/>
        </w:rPr>
        <w:t>les actions de lutte contre le dopage. A cette fin, elle coopère avec l'Agence mondiale antidopage, avec les organismes reconnus par celle-ci et disposant de compétences analogues aux siennes et avec les fédérations sportives internationales.</w:t>
      </w:r>
      <w:r>
        <w:rPr>
          <w:rFonts w:cs="Times New Roman"/>
          <w:sz w:val="24"/>
          <w:szCs w:val="24"/>
        </w:rPr>
        <w:t xml:space="preserve"> </w:t>
      </w:r>
      <w:r w:rsidR="0026570F">
        <w:rPr>
          <w:rFonts w:cs="Times New Roman"/>
          <w:sz w:val="24"/>
          <w:szCs w:val="24"/>
        </w:rPr>
        <w:t>Elle publie un rapport d’activités annuels, et celui de 2015 est accessible librement sur internet à partir de la page suivante :</w:t>
      </w:r>
    </w:p>
    <w:p w:rsidR="004271D9" w:rsidRDefault="004F321C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8" w:history="1">
        <w:r w:rsidR="0026570F" w:rsidRPr="00A44F18">
          <w:rPr>
            <w:rStyle w:val="Lienhypertexte"/>
            <w:rFonts w:cs="Times New Roman"/>
            <w:sz w:val="24"/>
            <w:szCs w:val="24"/>
          </w:rPr>
          <w:t>https://www.afld.fr/wp-content/themes/afld/js/feuilletage/sources/indexPop.htm</w:t>
        </w:r>
      </w:hyperlink>
    </w:p>
    <w:p w:rsidR="006C58E6" w:rsidRDefault="006C58E6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C58E6" w:rsidRDefault="006C58E6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C58E6">
        <w:rPr>
          <w:rFonts w:cs="Times New Roman"/>
          <w:sz w:val="24"/>
          <w:szCs w:val="24"/>
        </w:rPr>
        <w:t>Elle est associée aux activités internationales dans le domaine de la lutte contre le dopage et apporte son expertise à l'Etat, notamment lors de l'élaboration de la liste des substances ou méthodes interdite</w:t>
      </w:r>
      <w:r w:rsidR="00EF34BC">
        <w:rPr>
          <w:rFonts w:cs="Times New Roman"/>
          <w:sz w:val="24"/>
          <w:szCs w:val="24"/>
        </w:rPr>
        <w:t>s</w:t>
      </w:r>
      <w:r w:rsidRPr="00EF34BC">
        <w:rPr>
          <w:rFonts w:cs="Times New Roman"/>
          <w:sz w:val="24"/>
          <w:szCs w:val="24"/>
        </w:rPr>
        <w:t xml:space="preserve"> en application de la convention internationale</w:t>
      </w:r>
      <w:r w:rsidR="00EF34BC" w:rsidRPr="00EF34BC">
        <w:rPr>
          <w:rFonts w:cs="Times New Roman"/>
          <w:sz w:val="24"/>
          <w:szCs w:val="24"/>
        </w:rPr>
        <w:t xml:space="preserve"> contre le dopage dans</w:t>
      </w:r>
      <w:r w:rsidR="00EF34BC">
        <w:rPr>
          <w:rFonts w:cs="Times New Roman"/>
          <w:sz w:val="24"/>
          <w:szCs w:val="24"/>
        </w:rPr>
        <w:t xml:space="preserve"> le sport</w:t>
      </w:r>
      <w:r w:rsidR="00EF34BC" w:rsidRPr="00EF34BC">
        <w:rPr>
          <w:rFonts w:cs="Times New Roman"/>
          <w:sz w:val="24"/>
          <w:szCs w:val="24"/>
        </w:rPr>
        <w:t xml:space="preserve"> adoptée à Paris le 19 octobre 2005 </w:t>
      </w:r>
      <w:r w:rsidRPr="00EF34BC">
        <w:rPr>
          <w:rFonts w:cs="Times New Roman"/>
          <w:sz w:val="24"/>
          <w:szCs w:val="24"/>
        </w:rPr>
        <w:t>ou de tout autre accord ultérieur qui aurait le même objet et qui s'y substituerait.</w:t>
      </w:r>
    </w:p>
    <w:p w:rsidR="00EF34BC" w:rsidRDefault="00EF34BC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F34BC" w:rsidRDefault="00EF34BC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Les produits dopants font l’objet d’une base qui peut être interrogée sur </w:t>
      </w:r>
      <w:r w:rsidR="0026570F">
        <w:rPr>
          <w:rFonts w:cs="Times New Roman"/>
          <w:sz w:val="24"/>
          <w:szCs w:val="24"/>
        </w:rPr>
        <w:t>internet à partir de l’adresse suivante :</w:t>
      </w:r>
    </w:p>
    <w:p w:rsidR="0026570F" w:rsidRDefault="004F321C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9" w:history="1">
        <w:r w:rsidR="0026570F" w:rsidRPr="0026570F">
          <w:rPr>
            <w:rStyle w:val="Lienhypertexte"/>
            <w:rFonts w:cs="Times New Roman"/>
            <w:sz w:val="24"/>
            <w:szCs w:val="24"/>
          </w:rPr>
          <w:t>https://medicaments.afld.fr/</w:t>
        </w:r>
      </w:hyperlink>
    </w:p>
    <w:p w:rsidR="0026570F" w:rsidRDefault="0026570F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20B8" w:rsidRDefault="00B66CCB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 présent jeu de données est une extracti</w:t>
      </w:r>
      <w:r w:rsidR="00BE20B8">
        <w:rPr>
          <w:rFonts w:cs="Times New Roman"/>
          <w:sz w:val="24"/>
          <w:szCs w:val="24"/>
        </w:rPr>
        <w:t>on de cette base</w:t>
      </w:r>
      <w:r>
        <w:rPr>
          <w:rFonts w:cs="Times New Roman"/>
          <w:sz w:val="24"/>
          <w:szCs w:val="24"/>
        </w:rPr>
        <w:t xml:space="preserve"> mise à jour au 17 mars 2016. </w:t>
      </w:r>
      <w:r w:rsidR="00BE20B8">
        <w:rPr>
          <w:rFonts w:cs="Times New Roman"/>
          <w:sz w:val="24"/>
          <w:szCs w:val="24"/>
        </w:rPr>
        <w:t>Il est présenté par médicaments considérés comme pouvant être dopants, à l’exception de certaines substances dont la modalité d’administration n’est pas liée à la prise d’un médicament.</w:t>
      </w:r>
    </w:p>
    <w:p w:rsidR="00BE20B8" w:rsidRDefault="00BE20B8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20B8" w:rsidRDefault="00BE20B8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20B8" w:rsidRDefault="00BE20B8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20B8" w:rsidRDefault="00BE20B8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20B8" w:rsidRDefault="00BE20B8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20B8" w:rsidRDefault="00BE20B8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20B8" w:rsidRDefault="00BE20B8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20B8" w:rsidRDefault="00BE20B8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20B8" w:rsidRDefault="00BE20B8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20B8" w:rsidRDefault="00BE20B8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20B8" w:rsidRDefault="00BE20B8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E20B8" w:rsidRDefault="00BE20B8" w:rsidP="004271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F34BC" w:rsidRDefault="00BE20B8" w:rsidP="00BE20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E20B8">
        <w:rPr>
          <w:rFonts w:cs="Times New Roman"/>
          <w:b/>
          <w:sz w:val="28"/>
          <w:szCs w:val="28"/>
        </w:rPr>
        <w:lastRenderedPageBreak/>
        <w:t xml:space="preserve">Présentation des fichiers de données </w:t>
      </w:r>
    </w:p>
    <w:p w:rsidR="00BE20B8" w:rsidRDefault="00BE20B8" w:rsidP="00BE20B8">
      <w:pPr>
        <w:pStyle w:val="Paragraphedeliste"/>
        <w:spacing w:after="0" w:line="240" w:lineRule="auto"/>
        <w:ind w:left="1080"/>
        <w:jc w:val="both"/>
        <w:rPr>
          <w:rFonts w:cs="Times New Roman"/>
          <w:b/>
          <w:sz w:val="28"/>
          <w:szCs w:val="28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920"/>
        <w:gridCol w:w="3180"/>
        <w:gridCol w:w="4131"/>
      </w:tblGrid>
      <w:tr w:rsidR="00BE20B8" w:rsidRPr="00BE20B8" w:rsidTr="00BE20B8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BE20B8" w:rsidRDefault="00BE20B8" w:rsidP="00BE2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E20B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Variable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BE20B8" w:rsidRDefault="00BE20B8" w:rsidP="00BE2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BE20B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Format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BE20B8" w:rsidRDefault="00BE20B8" w:rsidP="00BE2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BE20B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Definition</w:t>
            </w:r>
            <w:proofErr w:type="spellEnd"/>
          </w:p>
        </w:tc>
      </w:tr>
      <w:tr w:rsidR="00BE20B8" w:rsidRPr="00BE20B8" w:rsidTr="00BE20B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01B4B">
              <w:rPr>
                <w:rFonts w:ascii="Arial" w:eastAsia="Times New Roman" w:hAnsi="Arial" w:cs="Arial"/>
                <w:lang w:eastAsia="fr-FR"/>
              </w:rPr>
              <w:t>Voie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Texte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Type de voie d'administration de la substance interdite</w:t>
            </w:r>
          </w:p>
        </w:tc>
      </w:tr>
      <w:tr w:rsidR="00BE20B8" w:rsidRPr="00BE20B8" w:rsidTr="00BE20B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901B4B">
              <w:rPr>
                <w:rFonts w:ascii="Arial" w:eastAsia="Times New Roman" w:hAnsi="Arial" w:cs="Arial"/>
                <w:lang w:eastAsia="fr-FR"/>
              </w:rPr>
              <w:t>DenomSpe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Texte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Nom du médicament faisant l'objet de l'interdiction</w:t>
            </w:r>
          </w:p>
        </w:tc>
      </w:tr>
      <w:tr w:rsidR="00BE20B8" w:rsidRPr="00BE20B8" w:rsidTr="00BE20B8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01B4B">
              <w:rPr>
                <w:rFonts w:ascii="Arial" w:eastAsia="Times New Roman" w:hAnsi="Arial" w:cs="Arial"/>
                <w:lang w:eastAsia="fr-FR"/>
              </w:rPr>
              <w:t>Substance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Texte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Substance associée au médicament qui justifie l'interdiction de la prise le médicament</w:t>
            </w:r>
          </w:p>
        </w:tc>
      </w:tr>
      <w:tr w:rsidR="00BE20B8" w:rsidRPr="00BE20B8" w:rsidTr="00BE20B8">
        <w:trPr>
          <w:trHeight w:val="18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01B4B">
              <w:rPr>
                <w:rFonts w:ascii="Arial" w:eastAsia="Times New Roman" w:hAnsi="Arial" w:cs="Arial"/>
                <w:lang w:eastAsia="fr-FR"/>
              </w:rPr>
              <w:t>Procédure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Texte; deux modalités de réponse: "AUT" (autorisation d'usage à des fin thérapeutiques requise); "AUT non requise" (autorisation d'usage à des fin thérapeutiques non requise)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Procédure adaptée ouvrant droit à la prise du médicament</w:t>
            </w:r>
          </w:p>
        </w:tc>
      </w:tr>
      <w:tr w:rsidR="00BE20B8" w:rsidRPr="00BE20B8" w:rsidTr="00BE20B8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01B4B">
              <w:rPr>
                <w:rFonts w:ascii="Arial" w:eastAsia="Times New Roman" w:hAnsi="Arial" w:cs="Arial"/>
                <w:lang w:eastAsia="fr-FR"/>
              </w:rPr>
              <w:t>Informations complémentaires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Texte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Précisions relatives aux conditions réunies pour caractériser l'interdiction</w:t>
            </w:r>
          </w:p>
        </w:tc>
      </w:tr>
      <w:tr w:rsidR="00BE20B8" w:rsidRPr="00BE20B8" w:rsidTr="00BE20B8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01B4B">
              <w:rPr>
                <w:rFonts w:ascii="Arial" w:eastAsia="Times New Roman" w:hAnsi="Arial" w:cs="Arial"/>
                <w:lang w:eastAsia="fr-FR"/>
              </w:rPr>
              <w:t>Informations complémentaires bis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Texte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Précisions sémantiques et précisions relatives aux conditions réunies pour définir l'interdiction</w:t>
            </w:r>
          </w:p>
        </w:tc>
      </w:tr>
      <w:tr w:rsidR="00BE20B8" w:rsidRPr="00BE20B8" w:rsidTr="00BE20B8">
        <w:trPr>
          <w:trHeight w:val="21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01B4B">
              <w:rPr>
                <w:rFonts w:ascii="Arial" w:eastAsia="Times New Roman" w:hAnsi="Arial" w:cs="Arial"/>
                <w:lang w:eastAsia="fr-FR"/>
              </w:rPr>
              <w:t>Statut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Texte; 4 modalités de réponses: "Interdit en permanence (En et Hors compétition)"; "Interdit dans certains sports"; "Interdit en compétition"; "Médicament autorisé par cette voie d'administration"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Champ de l'interdiction de l'utilisation</w:t>
            </w:r>
          </w:p>
        </w:tc>
      </w:tr>
      <w:tr w:rsidR="00BE20B8" w:rsidRPr="00BE20B8" w:rsidTr="00BE20B8">
        <w:trPr>
          <w:trHeight w:val="9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01B4B">
              <w:rPr>
                <w:rFonts w:ascii="Arial" w:eastAsia="Times New Roman" w:hAnsi="Arial" w:cs="Arial"/>
                <w:lang w:eastAsia="fr-FR"/>
              </w:rPr>
              <w:t>Classe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Texte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B8" w:rsidRPr="00901B4B" w:rsidRDefault="00BE20B8" w:rsidP="00BE20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01B4B">
              <w:rPr>
                <w:rFonts w:ascii="Arial" w:eastAsia="Times New Roman" w:hAnsi="Arial" w:cs="Arial"/>
                <w:color w:val="000000"/>
                <w:lang w:eastAsia="fr-FR"/>
              </w:rPr>
              <w:t>Classification des substances interdites</w:t>
            </w:r>
          </w:p>
        </w:tc>
      </w:tr>
    </w:tbl>
    <w:p w:rsidR="00BE20B8" w:rsidRPr="00BE20B8" w:rsidRDefault="00BE20B8" w:rsidP="00BE20B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EF34BC" w:rsidRDefault="00EF34BC" w:rsidP="00EF34B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63B2D" w:rsidRDefault="00463B2D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A5029" w:rsidRPr="004C0BA2" w:rsidRDefault="00EA5029" w:rsidP="00EA502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sectPr w:rsidR="00EA5029" w:rsidRPr="004C0BA2" w:rsidSect="00AA6AB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CB" w:rsidRDefault="00B66CCB" w:rsidP="005848C9">
      <w:pPr>
        <w:spacing w:after="0" w:line="240" w:lineRule="auto"/>
      </w:pPr>
      <w:r>
        <w:separator/>
      </w:r>
    </w:p>
  </w:endnote>
  <w:endnote w:type="continuationSeparator" w:id="0">
    <w:p w:rsidR="00B66CCB" w:rsidRDefault="00B66CCB" w:rsidP="0058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DA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07"/>
      <w:docPartObj>
        <w:docPartGallery w:val="Page Numbers (Bottom of Page)"/>
        <w:docPartUnique/>
      </w:docPartObj>
    </w:sdtPr>
    <w:sdtContent>
      <w:p w:rsidR="00B66CCB" w:rsidRDefault="004F321C">
        <w:pPr>
          <w:pStyle w:val="Pieddepage"/>
          <w:jc w:val="right"/>
        </w:pPr>
        <w:fldSimple w:instr=" PAGE   \* MERGEFORMAT ">
          <w:r w:rsidR="00901B4B">
            <w:rPr>
              <w:noProof/>
            </w:rPr>
            <w:t>2</w:t>
          </w:r>
        </w:fldSimple>
      </w:p>
    </w:sdtContent>
  </w:sdt>
  <w:p w:rsidR="00B66CCB" w:rsidRDefault="00B66CC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06"/>
      <w:docPartObj>
        <w:docPartGallery w:val="Page Numbers (Bottom of Page)"/>
        <w:docPartUnique/>
      </w:docPartObj>
    </w:sdtPr>
    <w:sdtContent>
      <w:p w:rsidR="00B66CCB" w:rsidRDefault="004F321C">
        <w:pPr>
          <w:pStyle w:val="Pieddepage"/>
          <w:jc w:val="right"/>
        </w:pPr>
        <w:fldSimple w:instr=" PAGE   \* MERGEFORMAT ">
          <w:r w:rsidR="00901B4B">
            <w:rPr>
              <w:noProof/>
            </w:rPr>
            <w:t>1</w:t>
          </w:r>
        </w:fldSimple>
      </w:p>
    </w:sdtContent>
  </w:sdt>
  <w:p w:rsidR="00B66CCB" w:rsidRDefault="00B66C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CB" w:rsidRDefault="00B66CCB" w:rsidP="005848C9">
      <w:pPr>
        <w:spacing w:after="0" w:line="240" w:lineRule="auto"/>
      </w:pPr>
      <w:r>
        <w:separator/>
      </w:r>
    </w:p>
  </w:footnote>
  <w:footnote w:type="continuationSeparator" w:id="0">
    <w:p w:rsidR="00B66CCB" w:rsidRDefault="00B66CCB" w:rsidP="0058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B" w:rsidRDefault="004F321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895150" o:spid="_x0000_s14338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5C" w:rsidRDefault="00DE715C" w:rsidP="00DE715C">
    <w:pPr>
      <w:pStyle w:val="Pieddepage"/>
      <w:jc w:val="right"/>
    </w:pPr>
    <w:r>
      <w:t>Produits dopants - V0</w:t>
    </w:r>
  </w:p>
  <w:p w:rsidR="00DE715C" w:rsidRPr="00847EA8" w:rsidRDefault="00DE715C" w:rsidP="00DE715C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27/09/2016</w:t>
    </w:r>
  </w:p>
  <w:p w:rsidR="00B66CCB" w:rsidRDefault="00B66CCB" w:rsidP="00C65EC3">
    <w:pPr>
      <w:pStyle w:val="Pieddepage"/>
      <w:jc w:val="right"/>
    </w:pPr>
  </w:p>
  <w:p w:rsidR="00B66CCB" w:rsidRDefault="00B66CCB" w:rsidP="00C65EC3">
    <w:pPr>
      <w:pStyle w:val="Pieddepag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B" w:rsidRDefault="00DE715C" w:rsidP="0064504E">
    <w:pPr>
      <w:pStyle w:val="Pieddepage"/>
      <w:jc w:val="right"/>
    </w:pPr>
    <w:r>
      <w:t>Produits d</w:t>
    </w:r>
    <w:r w:rsidR="00B66CCB">
      <w:t>opant</w:t>
    </w:r>
    <w:r>
      <w:t xml:space="preserve">s </w:t>
    </w:r>
    <w:r w:rsidR="00B66CCB">
      <w:t>- V0</w:t>
    </w:r>
  </w:p>
  <w:p w:rsidR="00B66CCB" w:rsidRPr="00847EA8" w:rsidRDefault="00B66CCB" w:rsidP="0064504E">
    <w:pPr>
      <w:pStyle w:val="En-tte"/>
      <w:jc w:val="right"/>
      <w:rPr>
        <w:sz w:val="24"/>
        <w:szCs w:val="24"/>
      </w:rPr>
    </w:pPr>
    <w:r w:rsidRPr="00773839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-497973</wp:posOffset>
          </wp:positionH>
          <wp:positionV relativeFrom="paragraph">
            <wp:posOffset>-110268</wp:posOffset>
          </wp:positionV>
          <wp:extent cx="1543936" cy="414669"/>
          <wp:effectExtent l="19050" t="0" r="0" b="0"/>
          <wp:wrapNone/>
          <wp:docPr id="3" name="Image 0" descr="LogoOpenfield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penfield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936" cy="414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0B8">
      <w:rPr>
        <w:sz w:val="24"/>
        <w:szCs w:val="24"/>
      </w:rPr>
      <w:t>2</w:t>
    </w:r>
    <w:r w:rsidR="00DE715C">
      <w:rPr>
        <w:sz w:val="24"/>
        <w:szCs w:val="24"/>
      </w:rPr>
      <w:t>7</w:t>
    </w:r>
    <w:r>
      <w:rPr>
        <w:sz w:val="24"/>
        <w:szCs w:val="24"/>
      </w:rPr>
      <w:t>/09/2016</w:t>
    </w:r>
  </w:p>
  <w:p w:rsidR="00B66CCB" w:rsidRDefault="00B66CC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2D"/>
    <w:multiLevelType w:val="hybridMultilevel"/>
    <w:tmpl w:val="7E76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79E3"/>
    <w:multiLevelType w:val="hybridMultilevel"/>
    <w:tmpl w:val="81A8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1303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DC2"/>
    <w:multiLevelType w:val="hybridMultilevel"/>
    <w:tmpl w:val="B038C95E"/>
    <w:lvl w:ilvl="0" w:tplc="860050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6947"/>
    <w:multiLevelType w:val="hybridMultilevel"/>
    <w:tmpl w:val="B7363FAA"/>
    <w:lvl w:ilvl="0" w:tplc="392217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4302"/>
    <w:multiLevelType w:val="hybridMultilevel"/>
    <w:tmpl w:val="93C68330"/>
    <w:lvl w:ilvl="0" w:tplc="7C0C5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976D9"/>
    <w:multiLevelType w:val="hybridMultilevel"/>
    <w:tmpl w:val="F35A7BE6"/>
    <w:lvl w:ilvl="0" w:tplc="91282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074A"/>
    <w:multiLevelType w:val="hybridMultilevel"/>
    <w:tmpl w:val="8D86EDE2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D3DCF"/>
    <w:multiLevelType w:val="multilevel"/>
    <w:tmpl w:val="E64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7F7F65"/>
    <w:multiLevelType w:val="hybridMultilevel"/>
    <w:tmpl w:val="76F03D32"/>
    <w:lvl w:ilvl="0" w:tplc="15469F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D4521"/>
    <w:multiLevelType w:val="hybridMultilevel"/>
    <w:tmpl w:val="A1189996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70182"/>
    <w:multiLevelType w:val="hybridMultilevel"/>
    <w:tmpl w:val="158E2C50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5FF2"/>
    <w:multiLevelType w:val="hybridMultilevel"/>
    <w:tmpl w:val="1E668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44BEE"/>
    <w:multiLevelType w:val="hybridMultilevel"/>
    <w:tmpl w:val="3244D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62BBB"/>
    <w:multiLevelType w:val="hybridMultilevel"/>
    <w:tmpl w:val="A15A83A6"/>
    <w:lvl w:ilvl="0" w:tplc="860050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178EB"/>
    <w:multiLevelType w:val="hybridMultilevel"/>
    <w:tmpl w:val="2C1C9B5E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732B"/>
    <w:multiLevelType w:val="hybridMultilevel"/>
    <w:tmpl w:val="14FA140A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31B"/>
    <w:multiLevelType w:val="hybridMultilevel"/>
    <w:tmpl w:val="DB6C5DD4"/>
    <w:lvl w:ilvl="0" w:tplc="DF428BB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72AC4"/>
    <w:multiLevelType w:val="hybridMultilevel"/>
    <w:tmpl w:val="D0085006"/>
    <w:lvl w:ilvl="0" w:tplc="22B25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819C7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7CBF"/>
    <w:multiLevelType w:val="hybridMultilevel"/>
    <w:tmpl w:val="F82C3FE6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15BD6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20"/>
  </w:num>
  <w:num w:numId="15">
    <w:abstractNumId w:val="16"/>
  </w:num>
  <w:num w:numId="16">
    <w:abstractNumId w:val="7"/>
  </w:num>
  <w:num w:numId="17">
    <w:abstractNumId w:val="21"/>
  </w:num>
  <w:num w:numId="18">
    <w:abstractNumId w:val="17"/>
  </w:num>
  <w:num w:numId="19">
    <w:abstractNumId w:val="14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240B7"/>
    <w:rsid w:val="000025FF"/>
    <w:rsid w:val="000031A4"/>
    <w:rsid w:val="00013336"/>
    <w:rsid w:val="00013EF4"/>
    <w:rsid w:val="0003687C"/>
    <w:rsid w:val="0004008E"/>
    <w:rsid w:val="00045058"/>
    <w:rsid w:val="000A0DF8"/>
    <w:rsid w:val="000A1366"/>
    <w:rsid w:val="000C01E1"/>
    <w:rsid w:val="000D27AD"/>
    <w:rsid w:val="000D3BA0"/>
    <w:rsid w:val="000D4923"/>
    <w:rsid w:val="000E0260"/>
    <w:rsid w:val="000F3758"/>
    <w:rsid w:val="00116C63"/>
    <w:rsid w:val="00122827"/>
    <w:rsid w:val="001318A9"/>
    <w:rsid w:val="001632E3"/>
    <w:rsid w:val="001A3182"/>
    <w:rsid w:val="001F6D2D"/>
    <w:rsid w:val="002423FF"/>
    <w:rsid w:val="0026570F"/>
    <w:rsid w:val="0029082F"/>
    <w:rsid w:val="00290CDB"/>
    <w:rsid w:val="003075F2"/>
    <w:rsid w:val="00323FEC"/>
    <w:rsid w:val="00373CE9"/>
    <w:rsid w:val="003769E2"/>
    <w:rsid w:val="003B5E37"/>
    <w:rsid w:val="003C3D27"/>
    <w:rsid w:val="00400EED"/>
    <w:rsid w:val="004156FD"/>
    <w:rsid w:val="004240B7"/>
    <w:rsid w:val="004271D9"/>
    <w:rsid w:val="00456801"/>
    <w:rsid w:val="004628DE"/>
    <w:rsid w:val="00463B2D"/>
    <w:rsid w:val="00473057"/>
    <w:rsid w:val="00480D38"/>
    <w:rsid w:val="004909B2"/>
    <w:rsid w:val="004B677E"/>
    <w:rsid w:val="004C0BA2"/>
    <w:rsid w:val="004C5F26"/>
    <w:rsid w:val="004D1525"/>
    <w:rsid w:val="004D4732"/>
    <w:rsid w:val="004F321C"/>
    <w:rsid w:val="004F6035"/>
    <w:rsid w:val="005221DC"/>
    <w:rsid w:val="005244D8"/>
    <w:rsid w:val="00553210"/>
    <w:rsid w:val="00555706"/>
    <w:rsid w:val="005848C9"/>
    <w:rsid w:val="005D3FCC"/>
    <w:rsid w:val="005F6301"/>
    <w:rsid w:val="006079E4"/>
    <w:rsid w:val="00627CEA"/>
    <w:rsid w:val="0063251C"/>
    <w:rsid w:val="0064504E"/>
    <w:rsid w:val="006462EB"/>
    <w:rsid w:val="0065380B"/>
    <w:rsid w:val="00655129"/>
    <w:rsid w:val="00673CD0"/>
    <w:rsid w:val="00691078"/>
    <w:rsid w:val="006C58E6"/>
    <w:rsid w:val="00716BC7"/>
    <w:rsid w:val="007351C4"/>
    <w:rsid w:val="0075112E"/>
    <w:rsid w:val="00773839"/>
    <w:rsid w:val="007A4ED8"/>
    <w:rsid w:val="007D4C5D"/>
    <w:rsid w:val="00807067"/>
    <w:rsid w:val="00834781"/>
    <w:rsid w:val="0084179B"/>
    <w:rsid w:val="00850A3B"/>
    <w:rsid w:val="00877544"/>
    <w:rsid w:val="008D0045"/>
    <w:rsid w:val="008D43CB"/>
    <w:rsid w:val="008E29E3"/>
    <w:rsid w:val="00901B4B"/>
    <w:rsid w:val="00930469"/>
    <w:rsid w:val="00933008"/>
    <w:rsid w:val="00936765"/>
    <w:rsid w:val="00945A5A"/>
    <w:rsid w:val="00953808"/>
    <w:rsid w:val="0096250B"/>
    <w:rsid w:val="00967653"/>
    <w:rsid w:val="00974DA2"/>
    <w:rsid w:val="009776A3"/>
    <w:rsid w:val="00982A4B"/>
    <w:rsid w:val="00982E76"/>
    <w:rsid w:val="009B0C58"/>
    <w:rsid w:val="009B69D4"/>
    <w:rsid w:val="009D7347"/>
    <w:rsid w:val="009F079A"/>
    <w:rsid w:val="00A36548"/>
    <w:rsid w:val="00A4137B"/>
    <w:rsid w:val="00A718CC"/>
    <w:rsid w:val="00A74411"/>
    <w:rsid w:val="00A75716"/>
    <w:rsid w:val="00A82E9C"/>
    <w:rsid w:val="00AA6AB8"/>
    <w:rsid w:val="00AB4BC5"/>
    <w:rsid w:val="00AD1393"/>
    <w:rsid w:val="00B13D0D"/>
    <w:rsid w:val="00B14874"/>
    <w:rsid w:val="00B4205B"/>
    <w:rsid w:val="00B60807"/>
    <w:rsid w:val="00B650E7"/>
    <w:rsid w:val="00B66CCB"/>
    <w:rsid w:val="00B84E42"/>
    <w:rsid w:val="00BB2F6C"/>
    <w:rsid w:val="00BB71D5"/>
    <w:rsid w:val="00BC381F"/>
    <w:rsid w:val="00BD013A"/>
    <w:rsid w:val="00BE20B8"/>
    <w:rsid w:val="00C27C8B"/>
    <w:rsid w:val="00C44C1E"/>
    <w:rsid w:val="00C65EC3"/>
    <w:rsid w:val="00C75C0B"/>
    <w:rsid w:val="00CA2440"/>
    <w:rsid w:val="00CA41E1"/>
    <w:rsid w:val="00CA6A7F"/>
    <w:rsid w:val="00CB3522"/>
    <w:rsid w:val="00CD737B"/>
    <w:rsid w:val="00CF6463"/>
    <w:rsid w:val="00D012D3"/>
    <w:rsid w:val="00D029B8"/>
    <w:rsid w:val="00D15FCF"/>
    <w:rsid w:val="00D310F2"/>
    <w:rsid w:val="00D83930"/>
    <w:rsid w:val="00DA37A3"/>
    <w:rsid w:val="00DE715C"/>
    <w:rsid w:val="00E00B6C"/>
    <w:rsid w:val="00E16E6E"/>
    <w:rsid w:val="00E17575"/>
    <w:rsid w:val="00E25DAC"/>
    <w:rsid w:val="00E31E34"/>
    <w:rsid w:val="00E51993"/>
    <w:rsid w:val="00E53A6C"/>
    <w:rsid w:val="00E75398"/>
    <w:rsid w:val="00E9133B"/>
    <w:rsid w:val="00EA5029"/>
    <w:rsid w:val="00ED6A15"/>
    <w:rsid w:val="00EF059C"/>
    <w:rsid w:val="00EF34BC"/>
    <w:rsid w:val="00F1731C"/>
    <w:rsid w:val="00F22F7A"/>
    <w:rsid w:val="00F7228D"/>
    <w:rsid w:val="00FD1A54"/>
    <w:rsid w:val="00FD5C45"/>
    <w:rsid w:val="00FE345D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6C"/>
  </w:style>
  <w:style w:type="paragraph" w:styleId="Titre1">
    <w:name w:val="heading 1"/>
    <w:basedOn w:val="Normal"/>
    <w:next w:val="Normal"/>
    <w:link w:val="Titre1Car"/>
    <w:uiPriority w:val="9"/>
    <w:qFormat/>
    <w:rsid w:val="00522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D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g-chapeau">
    <w:name w:val="sg-chapeau"/>
    <w:basedOn w:val="Policepardfaut"/>
    <w:rsid w:val="003075F2"/>
  </w:style>
  <w:style w:type="paragraph" w:styleId="Textedebulles">
    <w:name w:val="Balloon Text"/>
    <w:basedOn w:val="Normal"/>
    <w:link w:val="TextedebullesCar"/>
    <w:uiPriority w:val="99"/>
    <w:semiHidden/>
    <w:unhideWhenUsed/>
    <w:rsid w:val="00B4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05B"/>
    <w:pPr>
      <w:autoSpaceDE w:val="0"/>
      <w:autoSpaceDN w:val="0"/>
      <w:adjustRightInd w:val="0"/>
      <w:spacing w:after="0" w:line="240" w:lineRule="auto"/>
    </w:pPr>
    <w:rPr>
      <w:rFonts w:ascii="MJDAOG+Arial" w:hAnsi="MJDAOG+Arial" w:cs="MJDAOG+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22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21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221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48C9"/>
  </w:style>
  <w:style w:type="paragraph" w:styleId="Pieddepage">
    <w:name w:val="footer"/>
    <w:basedOn w:val="Normal"/>
    <w:link w:val="PieddepageCar"/>
    <w:uiPriority w:val="99"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8C9"/>
  </w:style>
  <w:style w:type="table" w:styleId="Grilledutableau">
    <w:name w:val="Table Grid"/>
    <w:basedOn w:val="TableauNormal"/>
    <w:uiPriority w:val="59"/>
    <w:rsid w:val="00E2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63B2D"/>
    <w:rPr>
      <w:b/>
      <w:bCs/>
    </w:rPr>
  </w:style>
  <w:style w:type="character" w:styleId="Lienhypertexte">
    <w:name w:val="Hyperlink"/>
    <w:basedOn w:val="Policepardfaut"/>
    <w:uiPriority w:val="99"/>
    <w:unhideWhenUsed/>
    <w:rsid w:val="003C3D2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74D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2657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ld.fr/wp-content/themes/afld/js/feuilletage/sources/indexPop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caments.afld.f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427C2-91ED-48C9-8C53-4B01D8EA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DELABRUSSEJ</dc:creator>
  <cp:lastModifiedBy>janellir</cp:lastModifiedBy>
  <cp:revision>36</cp:revision>
  <dcterms:created xsi:type="dcterms:W3CDTF">2016-09-05T16:01:00Z</dcterms:created>
  <dcterms:modified xsi:type="dcterms:W3CDTF">2016-09-27T08:44:00Z</dcterms:modified>
</cp:coreProperties>
</file>