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D" w:rsidRPr="005221DC" w:rsidRDefault="005221DC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 w:rsidRPr="005221DC">
        <w:rPr>
          <w:sz w:val="36"/>
          <w:szCs w:val="36"/>
        </w:rPr>
        <w:t>S</w:t>
      </w:r>
      <w:r w:rsidR="000E0260">
        <w:rPr>
          <w:sz w:val="36"/>
          <w:szCs w:val="36"/>
        </w:rPr>
        <w:t>ubventions « </w:t>
      </w:r>
      <w:r w:rsidR="009B4DA8">
        <w:rPr>
          <w:sz w:val="36"/>
          <w:szCs w:val="36"/>
        </w:rPr>
        <w:t>Equipements s</w:t>
      </w:r>
      <w:r w:rsidR="000E0260">
        <w:rPr>
          <w:sz w:val="36"/>
          <w:szCs w:val="36"/>
        </w:rPr>
        <w:t>port</w:t>
      </w:r>
      <w:r w:rsidR="009B4DA8">
        <w:rPr>
          <w:sz w:val="36"/>
          <w:szCs w:val="36"/>
        </w:rPr>
        <w:t>ifs</w:t>
      </w:r>
      <w:r w:rsidR="000E0260">
        <w:rPr>
          <w:sz w:val="36"/>
          <w:szCs w:val="36"/>
        </w:rPr>
        <w:t xml:space="preserve"> » </w:t>
      </w:r>
      <w:r w:rsidRPr="005221DC">
        <w:rPr>
          <w:sz w:val="36"/>
          <w:szCs w:val="36"/>
        </w:rPr>
        <w:t xml:space="preserve">allouées </w:t>
      </w:r>
      <w:r w:rsidR="009B69D4" w:rsidRPr="005221DC">
        <w:rPr>
          <w:sz w:val="36"/>
          <w:szCs w:val="36"/>
        </w:rPr>
        <w:t>en 2015 dans le cadre de la</w:t>
      </w:r>
      <w:r w:rsidR="000E0260">
        <w:rPr>
          <w:sz w:val="36"/>
          <w:szCs w:val="36"/>
        </w:rPr>
        <w:t xml:space="preserve"> </w:t>
      </w:r>
      <w:r w:rsidR="009B69D4" w:rsidRPr="005221DC">
        <w:rPr>
          <w:sz w:val="36"/>
          <w:szCs w:val="36"/>
        </w:rPr>
        <w:t>Dotation d’Equipement des Territoires Ruraux</w:t>
      </w:r>
      <w:r w:rsidRPr="005221DC">
        <w:rPr>
          <w:sz w:val="36"/>
          <w:szCs w:val="36"/>
        </w:rPr>
        <w:t xml:space="preserve">  - DETR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9B4DA8" w:rsidRPr="00E31E34" w:rsidRDefault="009B4DA8" w:rsidP="009B4D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>La participation de l’Etat et de ses établissements au financement d’actions visant la réduction des inégalités d’accès à la pratique sportive en France s’appuie sur plusieurs leviers d’aides publiques comportant des moyens et des conditions particulières.</w:t>
      </w:r>
    </w:p>
    <w:p w:rsidR="009B4DA8" w:rsidRPr="00E31E34" w:rsidRDefault="009B4DA8" w:rsidP="009B4D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DA8" w:rsidRPr="00E31E34" w:rsidRDefault="009B4DA8" w:rsidP="009B4D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 xml:space="preserve">Pour la création ou la rénovation d’équipements sportifs (piscines, terrains de football, gymnases…), 5 grands leviers d’aides publiques peuvent être distingués : </w:t>
      </w:r>
    </w:p>
    <w:p w:rsidR="009B4DA8" w:rsidRPr="00E31E34" w:rsidRDefault="009B4DA8" w:rsidP="009B4D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4DA8" w:rsidRPr="00E31E34" w:rsidRDefault="009B4DA8" w:rsidP="009B4DA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>le Centre national de développement pour le sport (CNDS) constitue l’opérateur public spécialisé dans le soutien de la politique sportive ;</w:t>
      </w:r>
    </w:p>
    <w:p w:rsidR="009B4DA8" w:rsidRPr="00E31E34" w:rsidRDefault="009B4DA8" w:rsidP="009B4DA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1F497D" w:themeColor="text2"/>
          <w:sz w:val="24"/>
          <w:szCs w:val="24"/>
        </w:rPr>
      </w:pPr>
      <w:r w:rsidRPr="00E31E34">
        <w:rPr>
          <w:rFonts w:cs="Times New Roman"/>
          <w:color w:val="1F497D" w:themeColor="text2"/>
          <w:sz w:val="24"/>
          <w:szCs w:val="24"/>
        </w:rPr>
        <w:t>la Dotation d’équipement pour les territoires ruraux (DETR) constitue l’outil principal d’aide à l’investissement local, géré au niveau départemental ;</w:t>
      </w:r>
    </w:p>
    <w:p w:rsidR="009B4DA8" w:rsidRPr="00E31E34" w:rsidRDefault="009B4DA8" w:rsidP="009B4DA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>un fonds de soutien à l’investissement des collectivités locales créé en 2016, prévu par l’article 159 de la LFI 2016 pour 800 M€, et géré à l’échelon régional ;</w:t>
      </w:r>
    </w:p>
    <w:p w:rsidR="009B4DA8" w:rsidRPr="00E31E34" w:rsidRDefault="009B4DA8" w:rsidP="009B4DA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>la dotation politique de la ville qui répond aux enjeux spécifiques des contrats de ville ;</w:t>
      </w:r>
    </w:p>
    <w:p w:rsidR="009B4DA8" w:rsidRDefault="009B4DA8" w:rsidP="009B4DA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>les financements de l’agence nationale pour la rénovation urbaine (ANRU) relatifs au développement de l’offre sportive dans les quartiers.</w:t>
      </w:r>
    </w:p>
    <w:p w:rsidR="009B4DA8" w:rsidRPr="009B4DA8" w:rsidRDefault="009B4DA8" w:rsidP="009B4DA8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FE345D" w:rsidRPr="00E31E34" w:rsidRDefault="00FE345D">
      <w:pPr>
        <w:rPr>
          <w:rFonts w:cs="Times New Roman"/>
          <w:b/>
          <w:sz w:val="24"/>
          <w:szCs w:val="24"/>
        </w:rPr>
      </w:pPr>
      <w:r w:rsidRPr="00E31E34">
        <w:rPr>
          <w:rFonts w:cs="Times New Roman"/>
          <w:b/>
          <w:sz w:val="24"/>
          <w:szCs w:val="24"/>
        </w:rPr>
        <w:t>Généralités</w:t>
      </w:r>
    </w:p>
    <w:p w:rsidR="00555706" w:rsidRPr="009B4DA8" w:rsidRDefault="009B4DA8" w:rsidP="009B4DA8">
      <w:pPr>
        <w:jc w:val="both"/>
        <w:rPr>
          <w:rFonts w:cs="Times New Roman"/>
          <w:b/>
          <w:sz w:val="24"/>
          <w:szCs w:val="24"/>
        </w:rPr>
      </w:pPr>
      <w:r w:rsidRPr="00E31E34">
        <w:rPr>
          <w:rFonts w:cs="Times New Roman"/>
          <w:sz w:val="24"/>
          <w:szCs w:val="24"/>
        </w:rPr>
        <w:t xml:space="preserve">Depuis 2011, la dotation globale d’équipement des communes (D.G.E.) et la dotation de développement rural (D.D.R.) ont été fusionnées et remplacées par une nouvelle dotation : la dotation d’équipement des territoires ruraux (D.E.T.R.). </w:t>
      </w:r>
      <w:r w:rsidRPr="00E31E34">
        <w:rPr>
          <w:rFonts w:cs="Times New Roman"/>
          <w:b/>
          <w:color w:val="1F497D" w:themeColor="text2"/>
          <w:sz w:val="24"/>
          <w:szCs w:val="24"/>
        </w:rPr>
        <w:t>La DETR permet de financer tout projet dans le domaine économique, social, environnemental et touristique ou favorisant le développement ou le maintien des services publics en milieu rural.</w:t>
      </w:r>
    </w:p>
    <w:p w:rsidR="007351C4" w:rsidRPr="00E31E34" w:rsidRDefault="007351C4" w:rsidP="007351C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 xml:space="preserve">Les conditions d’application de la DETR ont été modifiées par l’article 159 II de la LFI 2016 à l’avantage du champ des équipements sportifs dans </w:t>
      </w:r>
      <w:r w:rsidRPr="009B4DA8">
        <w:rPr>
          <w:rFonts w:cs="Times New Roman"/>
          <w:sz w:val="24"/>
          <w:szCs w:val="24"/>
        </w:rPr>
        <w:t>la mesure où</w:t>
      </w:r>
      <w:r w:rsidRPr="009B4DA8">
        <w:rPr>
          <w:rFonts w:cs="Times New Roman"/>
          <w:b/>
          <w:sz w:val="24"/>
          <w:szCs w:val="24"/>
        </w:rPr>
        <w:t xml:space="preserve"> l</w:t>
      </w:r>
      <w:r w:rsidRPr="009B4DA8">
        <w:rPr>
          <w:rFonts w:cs="Times New Roman"/>
          <w:b/>
          <w:color w:val="1F497D" w:themeColor="text2"/>
          <w:sz w:val="24"/>
          <w:szCs w:val="24"/>
        </w:rPr>
        <w:t xml:space="preserve">e domaine sport est explicitement intégré dans la liste des équipements éligibles et qu’une subvention au titre de la DETR est dorénavant cumulable avec une aide du CNDS </w:t>
      </w:r>
      <w:r w:rsidRPr="00E31E34">
        <w:rPr>
          <w:rFonts w:cs="Times New Roman"/>
          <w:sz w:val="24"/>
          <w:szCs w:val="24"/>
        </w:rPr>
        <w:t>(décret n°2016-423 du 08/04/2016 relatif aux dotations de l’Etat, aux collectivités territoriales et à la péréquation des ressources fiscales).</w:t>
      </w:r>
    </w:p>
    <w:p w:rsidR="00FD5C45" w:rsidRPr="00E31E34" w:rsidRDefault="00FD5C45" w:rsidP="005848C9">
      <w:pPr>
        <w:autoSpaceDE w:val="0"/>
        <w:autoSpaceDN w:val="0"/>
        <w:adjustRightInd w:val="0"/>
        <w:spacing w:after="0" w:line="240" w:lineRule="auto"/>
        <w:jc w:val="both"/>
        <w:rPr>
          <w:rStyle w:val="sg-chapeau"/>
          <w:rFonts w:cs="Times New Roman"/>
          <w:sz w:val="24"/>
          <w:szCs w:val="24"/>
        </w:rPr>
      </w:pPr>
    </w:p>
    <w:p w:rsidR="000025FF" w:rsidRPr="00E31E34" w:rsidRDefault="009B4DA8" w:rsidP="00FD5C4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F1731C" w:rsidRPr="00E31E34">
        <w:rPr>
          <w:rFonts w:cs="Times New Roman"/>
          <w:b/>
          <w:sz w:val="24"/>
          <w:szCs w:val="24"/>
        </w:rPr>
        <w:t xml:space="preserve">résentation par </w:t>
      </w:r>
      <w:r w:rsidR="00945A5A" w:rsidRPr="00E31E34">
        <w:rPr>
          <w:rFonts w:cs="Times New Roman"/>
          <w:b/>
          <w:sz w:val="24"/>
          <w:szCs w:val="24"/>
        </w:rPr>
        <w:t>projet</w:t>
      </w:r>
      <w:r w:rsidR="0063251C" w:rsidRPr="00E31E34">
        <w:rPr>
          <w:rFonts w:cs="Times New Roman"/>
          <w:b/>
          <w:sz w:val="24"/>
          <w:szCs w:val="24"/>
        </w:rPr>
        <w:t xml:space="preserve"> </w:t>
      </w:r>
      <w:r w:rsidR="00A718CC" w:rsidRPr="00E31E34">
        <w:rPr>
          <w:rFonts w:cs="Times New Roman"/>
          <w:b/>
          <w:sz w:val="24"/>
          <w:szCs w:val="24"/>
        </w:rPr>
        <w:t>d’équipement sportif</w:t>
      </w:r>
      <w:r w:rsidR="0063251C" w:rsidRPr="00E31E34">
        <w:rPr>
          <w:rFonts w:cs="Times New Roman"/>
          <w:b/>
          <w:sz w:val="24"/>
          <w:szCs w:val="24"/>
        </w:rPr>
        <w:t xml:space="preserve"> subventionné</w:t>
      </w:r>
    </w:p>
    <w:p w:rsidR="000A0DF8" w:rsidRPr="00E31E34" w:rsidRDefault="005221DC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31E34">
        <w:rPr>
          <w:rFonts w:cs="Times New Roman"/>
          <w:sz w:val="24"/>
          <w:szCs w:val="24"/>
        </w:rPr>
        <w:t xml:space="preserve">La direction des sports </w:t>
      </w:r>
      <w:r w:rsidR="00A718CC" w:rsidRPr="00E31E34">
        <w:rPr>
          <w:rFonts w:cs="Times New Roman"/>
          <w:sz w:val="24"/>
          <w:szCs w:val="24"/>
        </w:rPr>
        <w:t>a mené une enquête auprès de ses services départementaux (</w:t>
      </w:r>
      <w:r w:rsidRPr="00E31E34">
        <w:rPr>
          <w:rFonts w:cs="Times New Roman"/>
          <w:sz w:val="24"/>
          <w:szCs w:val="24"/>
        </w:rPr>
        <w:t>DDCS</w:t>
      </w:r>
      <w:r w:rsidR="00A718CC" w:rsidRPr="00E31E34">
        <w:rPr>
          <w:rFonts w:cs="Times New Roman"/>
          <w:sz w:val="24"/>
          <w:szCs w:val="24"/>
        </w:rPr>
        <w:t xml:space="preserve"> et </w:t>
      </w:r>
      <w:r w:rsidRPr="00E31E34">
        <w:rPr>
          <w:rFonts w:cs="Times New Roman"/>
          <w:sz w:val="24"/>
          <w:szCs w:val="24"/>
        </w:rPr>
        <w:t xml:space="preserve">DDCSPP) </w:t>
      </w:r>
      <w:r w:rsidR="000A0DF8" w:rsidRPr="00E31E34">
        <w:rPr>
          <w:rFonts w:cs="Times New Roman"/>
          <w:sz w:val="24"/>
          <w:szCs w:val="24"/>
        </w:rPr>
        <w:t>afin de restituer</w:t>
      </w:r>
      <w:r w:rsidRPr="00E31E34">
        <w:rPr>
          <w:rFonts w:cs="Times New Roman"/>
          <w:sz w:val="24"/>
          <w:szCs w:val="24"/>
        </w:rPr>
        <w:t xml:space="preserve"> la part </w:t>
      </w:r>
      <w:r w:rsidR="00A718CC" w:rsidRPr="00E31E34">
        <w:rPr>
          <w:rFonts w:cs="Times New Roman"/>
          <w:sz w:val="24"/>
          <w:szCs w:val="24"/>
        </w:rPr>
        <w:t xml:space="preserve">de la DETR </w:t>
      </w:r>
      <w:r w:rsidRPr="00E31E34">
        <w:rPr>
          <w:rFonts w:cs="Times New Roman"/>
          <w:sz w:val="24"/>
          <w:szCs w:val="24"/>
        </w:rPr>
        <w:t>consacré</w:t>
      </w:r>
      <w:r w:rsidR="00A718CC" w:rsidRPr="00E31E34">
        <w:rPr>
          <w:rFonts w:cs="Times New Roman"/>
          <w:sz w:val="24"/>
          <w:szCs w:val="24"/>
        </w:rPr>
        <w:t xml:space="preserve">e </w:t>
      </w:r>
      <w:r w:rsidRPr="00E31E34">
        <w:rPr>
          <w:rFonts w:cs="Times New Roman"/>
          <w:sz w:val="24"/>
          <w:szCs w:val="24"/>
        </w:rPr>
        <w:t>aux équipements sportifs.</w:t>
      </w:r>
      <w:r w:rsidR="004628DE" w:rsidRPr="00E31E34">
        <w:rPr>
          <w:rFonts w:cs="Times New Roman"/>
          <w:sz w:val="24"/>
          <w:szCs w:val="24"/>
        </w:rPr>
        <w:t xml:space="preserve"> </w:t>
      </w:r>
      <w:r w:rsidR="000A0DF8" w:rsidRPr="00E31E34">
        <w:rPr>
          <w:rFonts w:cs="Times New Roman"/>
          <w:sz w:val="24"/>
          <w:szCs w:val="24"/>
        </w:rPr>
        <w:t>Le fichier constitué</w:t>
      </w:r>
      <w:r w:rsidR="00945A5A" w:rsidRPr="00E31E34">
        <w:rPr>
          <w:rFonts w:cs="Times New Roman"/>
          <w:sz w:val="24"/>
          <w:szCs w:val="24"/>
        </w:rPr>
        <w:t xml:space="preserve"> permet </w:t>
      </w:r>
      <w:r w:rsidR="000A0DF8" w:rsidRPr="00E31E34">
        <w:rPr>
          <w:rFonts w:cs="Times New Roman"/>
          <w:sz w:val="24"/>
          <w:szCs w:val="24"/>
        </w:rPr>
        <w:t xml:space="preserve">ainsi </w:t>
      </w:r>
      <w:r w:rsidR="00945A5A" w:rsidRPr="00E31E34">
        <w:rPr>
          <w:rFonts w:cs="Times New Roman"/>
          <w:sz w:val="24"/>
          <w:szCs w:val="24"/>
        </w:rPr>
        <w:t>de mieux connaître l’aide de l’Etat consacré</w:t>
      </w:r>
      <w:r w:rsidR="000E0260" w:rsidRPr="00E31E34">
        <w:rPr>
          <w:rFonts w:cs="Times New Roman"/>
          <w:sz w:val="24"/>
          <w:szCs w:val="24"/>
        </w:rPr>
        <w:t>e</w:t>
      </w:r>
      <w:r w:rsidR="00945A5A" w:rsidRPr="00E31E34">
        <w:rPr>
          <w:rFonts w:cs="Times New Roman"/>
          <w:sz w:val="24"/>
          <w:szCs w:val="24"/>
        </w:rPr>
        <w:t xml:space="preserve"> aux projets de construction ou de réhabilitation des équipements sportifs. </w:t>
      </w:r>
      <w:r w:rsidR="00E31E34">
        <w:rPr>
          <w:rFonts w:cs="Times New Roman"/>
          <w:sz w:val="24"/>
          <w:szCs w:val="24"/>
        </w:rPr>
        <w:t>Les données sont présentées</w:t>
      </w:r>
      <w:r w:rsidR="00945A5A" w:rsidRPr="00E31E34">
        <w:rPr>
          <w:rFonts w:cs="Times New Roman"/>
          <w:sz w:val="24"/>
          <w:szCs w:val="24"/>
        </w:rPr>
        <w:t xml:space="preserve"> par projet</w:t>
      </w:r>
      <w:r w:rsidR="000E0260" w:rsidRPr="00E31E34">
        <w:rPr>
          <w:rFonts w:cs="Times New Roman"/>
          <w:sz w:val="24"/>
          <w:szCs w:val="24"/>
        </w:rPr>
        <w:t xml:space="preserve"> subventionné</w:t>
      </w:r>
      <w:r w:rsidR="00945A5A" w:rsidRPr="00E31E34">
        <w:rPr>
          <w:rFonts w:cs="Times New Roman"/>
          <w:sz w:val="24"/>
          <w:szCs w:val="24"/>
        </w:rPr>
        <w:t>.</w:t>
      </w:r>
    </w:p>
    <w:p w:rsidR="000A1366" w:rsidRPr="00E31E34" w:rsidRDefault="00FD5C45" w:rsidP="000A1366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lastRenderedPageBreak/>
        <w:t>Présentation</w:t>
      </w:r>
      <w:r w:rsidR="000A1366" w:rsidRPr="00E31E34">
        <w:rPr>
          <w:rFonts w:cs="Times New Roman"/>
          <w:b/>
          <w:sz w:val="28"/>
          <w:szCs w:val="28"/>
        </w:rPr>
        <w:t xml:space="preserve"> d</w:t>
      </w:r>
      <w:r w:rsidR="00847EA8">
        <w:rPr>
          <w:rFonts w:cs="Times New Roman"/>
          <w:b/>
          <w:sz w:val="28"/>
          <w:szCs w:val="28"/>
        </w:rPr>
        <w:t>es</w:t>
      </w:r>
      <w:r w:rsidR="000A1366" w:rsidRPr="00E31E34">
        <w:rPr>
          <w:rFonts w:cs="Times New Roman"/>
          <w:b/>
          <w:sz w:val="28"/>
          <w:szCs w:val="28"/>
        </w:rPr>
        <w:t xml:space="preserve"> fichier</w:t>
      </w:r>
      <w:r w:rsidR="00847EA8">
        <w:rPr>
          <w:rFonts w:cs="Times New Roman"/>
          <w:b/>
          <w:sz w:val="28"/>
          <w:szCs w:val="28"/>
        </w:rPr>
        <w:t>s</w:t>
      </w:r>
      <w:r w:rsidR="000A1366" w:rsidRPr="00E31E34">
        <w:rPr>
          <w:rFonts w:cs="Times New Roman"/>
          <w:b/>
          <w:sz w:val="28"/>
          <w:szCs w:val="28"/>
        </w:rPr>
        <w:t xml:space="preserve"> de données</w:t>
      </w:r>
    </w:p>
    <w:p w:rsidR="002B6C41" w:rsidRPr="002B6C41" w:rsidRDefault="002B6C41" w:rsidP="002B6C41">
      <w:pPr>
        <w:rPr>
          <w:rFonts w:cs="Times New Roman"/>
          <w:b/>
          <w:sz w:val="24"/>
          <w:szCs w:val="24"/>
        </w:rPr>
      </w:pPr>
      <w:r w:rsidRPr="002B6C41">
        <w:rPr>
          <w:rFonts w:cs="Times New Roman"/>
          <w:b/>
          <w:sz w:val="24"/>
          <w:szCs w:val="24"/>
        </w:rPr>
        <w:t>Fichier 2015_DETR</w:t>
      </w:r>
      <w:r>
        <w:rPr>
          <w:rFonts w:cs="Times New Roman"/>
          <w:b/>
          <w:sz w:val="24"/>
          <w:szCs w:val="24"/>
        </w:rPr>
        <w:t>_ES</w:t>
      </w:r>
    </w:p>
    <w:p w:rsidR="002B6C41" w:rsidRDefault="002B6C41" w:rsidP="002B6C41">
      <w:pPr>
        <w:jc w:val="both"/>
        <w:rPr>
          <w:rFonts w:cs="Times New Roman"/>
          <w:sz w:val="24"/>
          <w:szCs w:val="24"/>
        </w:rPr>
      </w:pPr>
      <w:r w:rsidRPr="00A36548">
        <w:rPr>
          <w:rFonts w:cs="Times New Roman"/>
          <w:sz w:val="24"/>
          <w:szCs w:val="24"/>
        </w:rPr>
        <w:t>Le fichier répertorie</w:t>
      </w:r>
      <w:r>
        <w:rPr>
          <w:rFonts w:cs="Times New Roman"/>
          <w:sz w:val="24"/>
          <w:szCs w:val="24"/>
        </w:rPr>
        <w:t xml:space="preserve"> les subventions DETR totale par département allouées en 2015 et les montants fléchés</w:t>
      </w:r>
      <w:r w:rsidR="00BA0555">
        <w:rPr>
          <w:rFonts w:cs="Times New Roman"/>
          <w:sz w:val="24"/>
          <w:szCs w:val="24"/>
        </w:rPr>
        <w:t xml:space="preserve"> pour la</w:t>
      </w:r>
      <w:r>
        <w:rPr>
          <w:rFonts w:cs="Times New Roman"/>
          <w:sz w:val="24"/>
          <w:szCs w:val="24"/>
        </w:rPr>
        <w:t xml:space="preserve"> construction ou la réhabilitation d’équipements sportifs.</w:t>
      </w:r>
    </w:p>
    <w:p w:rsidR="002B6C41" w:rsidRPr="00A36548" w:rsidRDefault="002B6C41" w:rsidP="002B6C41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Region</w:t>
      </w:r>
      <w:proofErr w:type="spellEnd"/>
      <w:r w:rsidRPr="00A36548">
        <w:rPr>
          <w:rFonts w:cs="Times New Roman"/>
          <w:sz w:val="24"/>
          <w:szCs w:val="24"/>
        </w:rPr>
        <w:t> : nom de la région</w:t>
      </w:r>
    </w:p>
    <w:p w:rsidR="002B6C41" w:rsidRPr="00A36548" w:rsidRDefault="002B6C41" w:rsidP="002B6C41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Dep</w:t>
      </w:r>
      <w:proofErr w:type="spellEnd"/>
      <w:r w:rsidRPr="00A36548">
        <w:rPr>
          <w:rFonts w:cs="Times New Roman"/>
          <w:sz w:val="24"/>
          <w:szCs w:val="24"/>
        </w:rPr>
        <w:t> : code du département</w:t>
      </w:r>
    </w:p>
    <w:p w:rsidR="002B6C41" w:rsidRPr="00A36548" w:rsidRDefault="002B6C41" w:rsidP="002B6C41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Departement</w:t>
      </w:r>
      <w:proofErr w:type="spellEnd"/>
      <w:r w:rsidRPr="00A36548">
        <w:rPr>
          <w:rFonts w:cs="Times New Roman"/>
          <w:sz w:val="24"/>
          <w:szCs w:val="24"/>
        </w:rPr>
        <w:t> : nom du département</w:t>
      </w:r>
    </w:p>
    <w:p w:rsidR="002B6C41" w:rsidRPr="00A36548" w:rsidRDefault="009E25FB" w:rsidP="002B6C41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9E25FB">
        <w:rPr>
          <w:rFonts w:cs="Times New Roman"/>
          <w:sz w:val="24"/>
          <w:szCs w:val="24"/>
        </w:rPr>
        <w:t>EnvDETR</w:t>
      </w:r>
      <w:proofErr w:type="spellEnd"/>
      <w:r w:rsidR="002B6C41" w:rsidRPr="00A36548">
        <w:rPr>
          <w:rFonts w:cs="Times New Roman"/>
          <w:sz w:val="24"/>
          <w:szCs w:val="24"/>
        </w:rPr>
        <w:t> : montant total de</w:t>
      </w:r>
      <w:r w:rsidR="00895D2A">
        <w:rPr>
          <w:rFonts w:cs="Times New Roman"/>
          <w:sz w:val="24"/>
          <w:szCs w:val="24"/>
        </w:rPr>
        <w:t xml:space="preserve"> l’enveloppe DETR</w:t>
      </w:r>
      <w:r w:rsidR="002B6C41" w:rsidRPr="00A36548">
        <w:rPr>
          <w:rFonts w:cs="Times New Roman"/>
          <w:sz w:val="24"/>
          <w:szCs w:val="24"/>
        </w:rPr>
        <w:t xml:space="preserve"> </w:t>
      </w:r>
      <w:r w:rsidR="002B6C41">
        <w:rPr>
          <w:rFonts w:cs="Times New Roman"/>
          <w:sz w:val="24"/>
          <w:szCs w:val="24"/>
        </w:rPr>
        <w:t xml:space="preserve">du département </w:t>
      </w:r>
      <w:r w:rsidR="002B6C41" w:rsidRPr="00A36548">
        <w:rPr>
          <w:rFonts w:cs="Times New Roman"/>
          <w:sz w:val="24"/>
          <w:szCs w:val="24"/>
        </w:rPr>
        <w:t>en euros</w:t>
      </w:r>
    </w:p>
    <w:p w:rsidR="00BA0555" w:rsidRDefault="002B6C41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SubvSport_att</w:t>
      </w:r>
      <w:proofErr w:type="spellEnd"/>
      <w:r w:rsidRPr="00A36548">
        <w:rPr>
          <w:rFonts w:cs="Times New Roman"/>
          <w:sz w:val="24"/>
          <w:szCs w:val="24"/>
        </w:rPr>
        <w:t xml:space="preserve"> : </w:t>
      </w:r>
      <w:r w:rsidR="00895D2A">
        <w:rPr>
          <w:rFonts w:cs="Times New Roman"/>
          <w:sz w:val="24"/>
          <w:szCs w:val="24"/>
        </w:rPr>
        <w:t xml:space="preserve">total des </w:t>
      </w:r>
      <w:r w:rsidRPr="00A36548">
        <w:rPr>
          <w:rFonts w:cs="Times New Roman"/>
          <w:sz w:val="24"/>
          <w:szCs w:val="24"/>
        </w:rPr>
        <w:t>montant</w:t>
      </w:r>
      <w:r w:rsidR="00895D2A">
        <w:rPr>
          <w:rFonts w:cs="Times New Roman"/>
          <w:sz w:val="24"/>
          <w:szCs w:val="24"/>
        </w:rPr>
        <w:t>s</w:t>
      </w:r>
      <w:r w:rsidRPr="00A36548">
        <w:rPr>
          <w:rFonts w:cs="Times New Roman"/>
          <w:sz w:val="24"/>
          <w:szCs w:val="24"/>
        </w:rPr>
        <w:t xml:space="preserve"> attribué</w:t>
      </w:r>
      <w:r w:rsidR="00895D2A">
        <w:rPr>
          <w:rFonts w:cs="Times New Roman"/>
          <w:sz w:val="24"/>
          <w:szCs w:val="24"/>
        </w:rPr>
        <w:t>s</w:t>
      </w:r>
      <w:r w:rsidRPr="00A36548">
        <w:rPr>
          <w:rFonts w:cs="Times New Roman"/>
          <w:sz w:val="24"/>
          <w:szCs w:val="24"/>
        </w:rPr>
        <w:t xml:space="preserve"> en euros</w:t>
      </w:r>
      <w:r>
        <w:rPr>
          <w:rFonts w:cs="Times New Roman"/>
          <w:sz w:val="24"/>
          <w:szCs w:val="24"/>
        </w:rPr>
        <w:t xml:space="preserve"> aux équipements sportifs</w:t>
      </w:r>
      <w:r w:rsidR="00895D2A">
        <w:rPr>
          <w:rFonts w:cs="Times New Roman"/>
          <w:sz w:val="24"/>
          <w:szCs w:val="24"/>
        </w:rPr>
        <w:t xml:space="preserve"> en euros</w:t>
      </w:r>
    </w:p>
    <w:p w:rsidR="00895D2A" w:rsidRPr="00895D2A" w:rsidRDefault="00895D2A" w:rsidP="00895D2A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BA0555" w:rsidRPr="002B6C41" w:rsidRDefault="00BA0555" w:rsidP="00BA0555">
      <w:pPr>
        <w:rPr>
          <w:rFonts w:cs="Times New Roman"/>
          <w:b/>
          <w:sz w:val="24"/>
          <w:szCs w:val="24"/>
        </w:rPr>
      </w:pPr>
      <w:r w:rsidRPr="002B6C41">
        <w:rPr>
          <w:rFonts w:cs="Times New Roman"/>
          <w:b/>
          <w:sz w:val="24"/>
          <w:szCs w:val="24"/>
        </w:rPr>
        <w:t xml:space="preserve">Fichier </w:t>
      </w:r>
      <w:r w:rsidR="009E25FB">
        <w:rPr>
          <w:rFonts w:cs="Times New Roman"/>
          <w:b/>
          <w:sz w:val="24"/>
          <w:szCs w:val="24"/>
        </w:rPr>
        <w:t xml:space="preserve">détail </w:t>
      </w:r>
      <w:r w:rsidRPr="002B6C41">
        <w:rPr>
          <w:rFonts w:cs="Times New Roman"/>
          <w:b/>
          <w:sz w:val="24"/>
          <w:szCs w:val="24"/>
        </w:rPr>
        <w:t>2015_DETR_ES</w:t>
      </w:r>
      <w:r>
        <w:rPr>
          <w:rFonts w:cs="Times New Roman"/>
          <w:b/>
          <w:sz w:val="24"/>
          <w:szCs w:val="24"/>
        </w:rPr>
        <w:t>_OP</w:t>
      </w:r>
    </w:p>
    <w:p w:rsidR="00BA0555" w:rsidRDefault="00BA0555" w:rsidP="00BA0555">
      <w:pPr>
        <w:jc w:val="both"/>
        <w:rPr>
          <w:rFonts w:cs="Times New Roman"/>
          <w:sz w:val="24"/>
          <w:szCs w:val="24"/>
        </w:rPr>
      </w:pPr>
      <w:r w:rsidRPr="00A36548">
        <w:rPr>
          <w:rFonts w:cs="Times New Roman"/>
          <w:sz w:val="24"/>
          <w:szCs w:val="24"/>
        </w:rPr>
        <w:t>Le fichier répertorie</w:t>
      </w:r>
      <w:r>
        <w:rPr>
          <w:rFonts w:cs="Times New Roman"/>
          <w:sz w:val="24"/>
          <w:szCs w:val="24"/>
        </w:rPr>
        <w:t xml:space="preserve"> les projets et subventions DETR allouées en 2015 pour la construction ou la réhabilitation d’équipements sportifs.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A36548">
        <w:rPr>
          <w:rFonts w:cs="Times New Roman"/>
          <w:sz w:val="24"/>
          <w:szCs w:val="24"/>
        </w:rPr>
        <w:t>Reg : code de la région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Region</w:t>
      </w:r>
      <w:proofErr w:type="spellEnd"/>
      <w:r w:rsidRPr="00A36548">
        <w:rPr>
          <w:rFonts w:cs="Times New Roman"/>
          <w:sz w:val="24"/>
          <w:szCs w:val="24"/>
        </w:rPr>
        <w:t> : nom de la région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Dep</w:t>
      </w:r>
      <w:proofErr w:type="spellEnd"/>
      <w:r w:rsidRPr="00A36548">
        <w:rPr>
          <w:rFonts w:cs="Times New Roman"/>
          <w:sz w:val="24"/>
          <w:szCs w:val="24"/>
        </w:rPr>
        <w:t> : code du département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Departement</w:t>
      </w:r>
      <w:proofErr w:type="spellEnd"/>
      <w:r w:rsidRPr="00A36548">
        <w:rPr>
          <w:rFonts w:cs="Times New Roman"/>
          <w:sz w:val="24"/>
          <w:szCs w:val="24"/>
        </w:rPr>
        <w:t> : nom du département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A36548">
        <w:rPr>
          <w:rFonts w:cs="Times New Roman"/>
          <w:sz w:val="24"/>
          <w:szCs w:val="24"/>
        </w:rPr>
        <w:t>Commune : nom de la commune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Porteur_projet</w:t>
      </w:r>
      <w:proofErr w:type="spellEnd"/>
      <w:r w:rsidRPr="00A36548">
        <w:rPr>
          <w:rFonts w:cs="Times New Roman"/>
          <w:sz w:val="24"/>
          <w:szCs w:val="24"/>
        </w:rPr>
        <w:t> : nom du porteur de projet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Operation</w:t>
      </w:r>
      <w:proofErr w:type="spellEnd"/>
      <w:r w:rsidRPr="00A36548">
        <w:rPr>
          <w:rFonts w:cs="Times New Roman"/>
          <w:sz w:val="24"/>
          <w:szCs w:val="24"/>
        </w:rPr>
        <w:t> : description de l’opération objet de la demande de subvention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Montant_Op</w:t>
      </w:r>
      <w:proofErr w:type="spellEnd"/>
      <w:r w:rsidRPr="00A36548">
        <w:rPr>
          <w:rFonts w:cs="Times New Roman"/>
          <w:sz w:val="24"/>
          <w:szCs w:val="24"/>
        </w:rPr>
        <w:t> : montant total de l’opération en euros</w:t>
      </w:r>
    </w:p>
    <w:p w:rsidR="00BA0555" w:rsidRPr="00A36548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SubvSport_sol</w:t>
      </w:r>
      <w:proofErr w:type="spellEnd"/>
      <w:r w:rsidRPr="00A36548">
        <w:rPr>
          <w:rFonts w:cs="Times New Roman"/>
          <w:sz w:val="24"/>
          <w:szCs w:val="24"/>
        </w:rPr>
        <w:t> : montant sollicité par le porteur de projet en euros</w:t>
      </w:r>
    </w:p>
    <w:p w:rsidR="00BA0555" w:rsidRDefault="00BA0555" w:rsidP="00BA0555">
      <w:pPr>
        <w:pStyle w:val="Paragraphedeliste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A36548">
        <w:rPr>
          <w:rFonts w:cs="Times New Roman"/>
          <w:sz w:val="24"/>
          <w:szCs w:val="24"/>
        </w:rPr>
        <w:t>SubvSport_att</w:t>
      </w:r>
      <w:proofErr w:type="spellEnd"/>
      <w:r w:rsidRPr="00A36548">
        <w:rPr>
          <w:rFonts w:cs="Times New Roman"/>
          <w:sz w:val="24"/>
          <w:szCs w:val="24"/>
        </w:rPr>
        <w:t> : montant finalement attribué en euros</w:t>
      </w:r>
    </w:p>
    <w:p w:rsidR="002B6C41" w:rsidRPr="00A36548" w:rsidRDefault="002B6C41" w:rsidP="004C5F26">
      <w:pPr>
        <w:jc w:val="both"/>
        <w:rPr>
          <w:rFonts w:cs="Times New Roman"/>
          <w:sz w:val="24"/>
          <w:szCs w:val="24"/>
        </w:rPr>
      </w:pPr>
    </w:p>
    <w:p w:rsidR="00C27C8B" w:rsidRPr="00C27C8B" w:rsidRDefault="00945A5A" w:rsidP="00C27C8B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27C8B">
        <w:rPr>
          <w:rFonts w:cs="Times New Roman"/>
          <w:b/>
          <w:sz w:val="28"/>
          <w:szCs w:val="28"/>
        </w:rPr>
        <w:t>Précisions sur les spécificités du jeu de données</w:t>
      </w:r>
    </w:p>
    <w:p w:rsidR="008D2F05" w:rsidRDefault="003A74F0" w:rsidP="003A74F0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Certains services départementaux</w:t>
      </w:r>
      <w:r w:rsidR="008D2F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n’ont </w:t>
      </w:r>
      <w:r w:rsidR="008D2F05">
        <w:rPr>
          <w:rFonts w:cs="Times New Roman"/>
          <w:sz w:val="24"/>
          <w:szCs w:val="24"/>
        </w:rPr>
        <w:t xml:space="preserve">pas répondu à l’enquête ou </w:t>
      </w:r>
      <w:r w:rsidR="007A2B3E">
        <w:rPr>
          <w:rFonts w:cs="Times New Roman"/>
          <w:sz w:val="24"/>
          <w:szCs w:val="24"/>
        </w:rPr>
        <w:t xml:space="preserve">ont </w:t>
      </w:r>
      <w:r w:rsidR="008D2F05">
        <w:rPr>
          <w:rFonts w:cs="Times New Roman"/>
          <w:sz w:val="24"/>
          <w:szCs w:val="24"/>
        </w:rPr>
        <w:t xml:space="preserve">fournit des informations partielles </w:t>
      </w:r>
      <w:r w:rsidR="009A7CA1">
        <w:rPr>
          <w:rFonts w:cs="Times New Roman"/>
          <w:sz w:val="24"/>
          <w:szCs w:val="24"/>
        </w:rPr>
        <w:t>sur</w:t>
      </w:r>
      <w:r w:rsidR="008D2F05">
        <w:rPr>
          <w:rFonts w:cs="Times New Roman"/>
          <w:sz w:val="24"/>
          <w:szCs w:val="24"/>
        </w:rPr>
        <w:t xml:space="preserve"> les</w:t>
      </w:r>
      <w:r w:rsidR="009A7CA1">
        <w:rPr>
          <w:rFonts w:cs="Times New Roman"/>
          <w:sz w:val="24"/>
          <w:szCs w:val="24"/>
        </w:rPr>
        <w:t xml:space="preserve"> projets</w:t>
      </w:r>
      <w:r w:rsidR="008D2F0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2015. </w:t>
      </w:r>
      <w:r w:rsidR="00C4550C">
        <w:rPr>
          <w:rFonts w:cs="Times New Roman"/>
          <w:sz w:val="24"/>
          <w:szCs w:val="24"/>
        </w:rPr>
        <w:t>Les valeurs sont à vides ou marquées « NR » pour « non-renseignées ».</w:t>
      </w:r>
    </w:p>
    <w:p w:rsidR="003A74F0" w:rsidRPr="00ED390F" w:rsidRDefault="004156FD" w:rsidP="003A74F0">
      <w:pPr>
        <w:ind w:left="360"/>
        <w:jc w:val="both"/>
        <w:rPr>
          <w:rFonts w:cs="Times New Roman"/>
          <w:sz w:val="24"/>
          <w:szCs w:val="24"/>
        </w:rPr>
      </w:pPr>
      <w:r w:rsidRPr="00C27C8B">
        <w:rPr>
          <w:rFonts w:cs="Times New Roman"/>
          <w:sz w:val="24"/>
          <w:szCs w:val="24"/>
        </w:rPr>
        <w:t xml:space="preserve">Les données sont </w:t>
      </w:r>
      <w:r w:rsidR="003A74F0">
        <w:rPr>
          <w:rFonts w:cs="Times New Roman"/>
          <w:sz w:val="24"/>
          <w:szCs w:val="24"/>
        </w:rPr>
        <w:t xml:space="preserve">ainsi </w:t>
      </w:r>
      <w:r w:rsidRPr="00C27C8B">
        <w:rPr>
          <w:rFonts w:cs="Times New Roman"/>
          <w:sz w:val="24"/>
          <w:szCs w:val="24"/>
        </w:rPr>
        <w:t xml:space="preserve">disponibles pour </w:t>
      </w:r>
      <w:r w:rsidR="003A74F0">
        <w:rPr>
          <w:rFonts w:cs="Times New Roman"/>
          <w:sz w:val="24"/>
          <w:szCs w:val="24"/>
        </w:rPr>
        <w:t xml:space="preserve">la France métropolitaine à l’exception des départements de </w:t>
      </w:r>
      <w:r w:rsidR="003A74F0" w:rsidRPr="00ED390F">
        <w:rPr>
          <w:rFonts w:cs="Times New Roman"/>
          <w:sz w:val="24"/>
          <w:szCs w:val="24"/>
        </w:rPr>
        <w:t>Côte d'Or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Haute-Saône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Jura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Corse du Sud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Haute-Corse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Essonne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Seine-S</w:t>
      </w:r>
      <w:r w:rsidR="003A74F0">
        <w:rPr>
          <w:rFonts w:cs="Times New Roman"/>
          <w:sz w:val="24"/>
          <w:szCs w:val="24"/>
        </w:rPr>
        <w:t>ain</w:t>
      </w:r>
      <w:r w:rsidR="003A74F0" w:rsidRPr="00ED390F">
        <w:rPr>
          <w:rFonts w:cs="Times New Roman"/>
          <w:sz w:val="24"/>
          <w:szCs w:val="24"/>
        </w:rPr>
        <w:t>t-Denis</w:t>
      </w:r>
      <w:r w:rsidR="003A74F0">
        <w:rPr>
          <w:rFonts w:cs="Times New Roman"/>
          <w:sz w:val="24"/>
          <w:szCs w:val="24"/>
        </w:rPr>
        <w:t xml:space="preserve">, </w:t>
      </w:r>
      <w:r w:rsidR="003A74F0" w:rsidRPr="00ED390F">
        <w:rPr>
          <w:rFonts w:cs="Times New Roman"/>
          <w:sz w:val="24"/>
          <w:szCs w:val="24"/>
        </w:rPr>
        <w:t>Val-de-Marne</w:t>
      </w:r>
      <w:r w:rsidR="003A74F0">
        <w:rPr>
          <w:rFonts w:cs="Times New Roman"/>
          <w:sz w:val="24"/>
          <w:szCs w:val="24"/>
        </w:rPr>
        <w:t xml:space="preserve"> et Gard. En Outre-mer, seules les données de Guadeloupe, Martinique et </w:t>
      </w:r>
      <w:r w:rsidR="008D2F05">
        <w:rPr>
          <w:rFonts w:cs="Times New Roman"/>
          <w:sz w:val="24"/>
          <w:szCs w:val="24"/>
        </w:rPr>
        <w:t xml:space="preserve">Guyane </w:t>
      </w:r>
      <w:r w:rsidR="003A74F0">
        <w:rPr>
          <w:rFonts w:cs="Times New Roman"/>
          <w:sz w:val="24"/>
          <w:szCs w:val="24"/>
        </w:rPr>
        <w:t>sont disponibles.</w:t>
      </w:r>
    </w:p>
    <w:p w:rsidR="003A74F0" w:rsidRDefault="00B40156" w:rsidP="003A74F0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noms des porteurs de projets ne sont pas connus dans les départements de Seine-et-Marne, Haute-Garonne et </w:t>
      </w:r>
      <w:r w:rsidR="0051798E">
        <w:rPr>
          <w:rFonts w:cs="Times New Roman"/>
          <w:sz w:val="24"/>
          <w:szCs w:val="24"/>
        </w:rPr>
        <w:t>Vaucluse</w:t>
      </w:r>
      <w:r>
        <w:rPr>
          <w:rFonts w:cs="Times New Roman"/>
          <w:sz w:val="24"/>
          <w:szCs w:val="24"/>
        </w:rPr>
        <w:t>.</w:t>
      </w:r>
    </w:p>
    <w:p w:rsidR="0051798E" w:rsidRPr="00ED390F" w:rsidRDefault="0051798E" w:rsidP="0051798E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Les montants totaux des opérations et/ou les montants sollicités ne sont pas connus pour  </w:t>
      </w:r>
      <w:r w:rsidR="007A2B3E">
        <w:rPr>
          <w:rFonts w:cs="Times New Roman"/>
          <w:sz w:val="24"/>
          <w:szCs w:val="24"/>
        </w:rPr>
        <w:t xml:space="preserve">89 projets des départements </w:t>
      </w:r>
      <w:r w:rsidRPr="0051798E">
        <w:rPr>
          <w:rFonts w:cs="Times New Roman"/>
          <w:sz w:val="24"/>
          <w:szCs w:val="24"/>
        </w:rPr>
        <w:t>Ardennes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Bas-Rhin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Eure-et-Loir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Haute-Garonne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Loire-Atlantique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Marne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Orne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Puy-de-Dôme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Val-d'Oise</w:t>
      </w:r>
      <w:r>
        <w:rPr>
          <w:rFonts w:cs="Times New Roman"/>
          <w:sz w:val="24"/>
          <w:szCs w:val="24"/>
        </w:rPr>
        <w:t xml:space="preserve">, </w:t>
      </w:r>
      <w:r w:rsidRPr="0051798E">
        <w:rPr>
          <w:rFonts w:cs="Times New Roman"/>
          <w:sz w:val="24"/>
          <w:szCs w:val="24"/>
        </w:rPr>
        <w:t>Yvelines</w:t>
      </w:r>
      <w:r>
        <w:rPr>
          <w:rFonts w:cs="Times New Roman"/>
          <w:sz w:val="24"/>
          <w:szCs w:val="24"/>
        </w:rPr>
        <w:t xml:space="preserve"> et </w:t>
      </w:r>
      <w:r w:rsidRPr="0051798E">
        <w:rPr>
          <w:rFonts w:cs="Times New Roman"/>
          <w:sz w:val="24"/>
          <w:szCs w:val="24"/>
        </w:rPr>
        <w:t>Guadeloupe</w:t>
      </w:r>
      <w:r>
        <w:rPr>
          <w:rFonts w:cs="Times New Roman"/>
          <w:sz w:val="24"/>
          <w:szCs w:val="24"/>
        </w:rPr>
        <w:t>.</w:t>
      </w:r>
    </w:p>
    <w:p w:rsidR="003A74F0" w:rsidRPr="00ED390F" w:rsidRDefault="003A74F0" w:rsidP="003A74F0">
      <w:pPr>
        <w:ind w:left="360"/>
        <w:jc w:val="both"/>
        <w:rPr>
          <w:rFonts w:cs="Times New Roman"/>
          <w:sz w:val="24"/>
          <w:szCs w:val="24"/>
        </w:rPr>
      </w:pPr>
    </w:p>
    <w:p w:rsidR="003A74F0" w:rsidRPr="00ED390F" w:rsidRDefault="003A74F0" w:rsidP="003A74F0">
      <w:pPr>
        <w:ind w:left="360"/>
        <w:jc w:val="both"/>
        <w:rPr>
          <w:rFonts w:cs="Times New Roman"/>
          <w:sz w:val="24"/>
          <w:szCs w:val="24"/>
        </w:rPr>
      </w:pPr>
    </w:p>
    <w:p w:rsidR="003A74F0" w:rsidRPr="00ED390F" w:rsidRDefault="003A74F0" w:rsidP="003A74F0">
      <w:pPr>
        <w:ind w:left="360"/>
        <w:jc w:val="both"/>
        <w:rPr>
          <w:rFonts w:cs="Times New Roman"/>
          <w:sz w:val="24"/>
          <w:szCs w:val="24"/>
        </w:rPr>
      </w:pPr>
    </w:p>
    <w:p w:rsidR="00D41938" w:rsidRPr="005348CC" w:rsidRDefault="00D41938">
      <w:pPr>
        <w:rPr>
          <w:rFonts w:cs="Times New Roman"/>
          <w:color w:val="FF0000"/>
          <w:sz w:val="24"/>
          <w:szCs w:val="24"/>
        </w:rPr>
      </w:pPr>
    </w:p>
    <w:sectPr w:rsidR="00D41938" w:rsidRPr="005348CC" w:rsidSect="00AA6A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1B" w:rsidRDefault="004F521B" w:rsidP="005848C9">
      <w:pPr>
        <w:spacing w:after="0" w:line="240" w:lineRule="auto"/>
      </w:pPr>
      <w:r>
        <w:separator/>
      </w:r>
    </w:p>
  </w:endnote>
  <w:endnote w:type="continuationSeparator" w:id="0">
    <w:p w:rsidR="004F521B" w:rsidRDefault="004F521B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4"/>
      <w:docPartObj>
        <w:docPartGallery w:val="Page Numbers (Bottom of Page)"/>
        <w:docPartUnique/>
      </w:docPartObj>
    </w:sdtPr>
    <w:sdtContent>
      <w:p w:rsidR="00006D40" w:rsidRDefault="0028477C">
        <w:pPr>
          <w:pStyle w:val="Pieddepage"/>
          <w:jc w:val="right"/>
        </w:pPr>
        <w:fldSimple w:instr=" PAGE   \* MERGEFORMAT ">
          <w:r w:rsidR="005133B3">
            <w:rPr>
              <w:noProof/>
            </w:rPr>
            <w:t>2</w:t>
          </w:r>
        </w:fldSimple>
      </w:p>
    </w:sdtContent>
  </w:sdt>
  <w:p w:rsidR="00847EA8" w:rsidRDefault="00847E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1B" w:rsidRDefault="004F521B" w:rsidP="005848C9">
      <w:pPr>
        <w:spacing w:after="0" w:line="240" w:lineRule="auto"/>
      </w:pPr>
      <w:r>
        <w:separator/>
      </w:r>
    </w:p>
  </w:footnote>
  <w:footnote w:type="continuationSeparator" w:id="0">
    <w:p w:rsidR="004F521B" w:rsidRDefault="004F521B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84" w:rsidRDefault="002847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17420" o:spid="_x0000_s6146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A8" w:rsidRDefault="00847EA8" w:rsidP="00847EA8">
    <w:pPr>
      <w:pStyle w:val="Pieddepage"/>
      <w:jc w:val="right"/>
    </w:pPr>
    <w:r>
      <w:t>DETR Equipements sportifs - V0</w:t>
    </w:r>
  </w:p>
  <w:p w:rsidR="00847EA8" w:rsidRDefault="00847EA8" w:rsidP="00847EA8">
    <w:pPr>
      <w:pStyle w:val="Pieddepage"/>
      <w:jc w:val="right"/>
    </w:pPr>
    <w:r>
      <w:t>06/09/2016</w:t>
    </w:r>
  </w:p>
  <w:p w:rsidR="00805C84" w:rsidRDefault="0028477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17421" o:spid="_x0000_s6147" type="#_x0000_t136" style="position:absolute;margin-left:0;margin-top:0;width:426.35pt;height:213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A8" w:rsidRDefault="0028477C" w:rsidP="00847EA8">
    <w:pPr>
      <w:pStyle w:val="Pieddepag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17419" o:spid="_x0000_s6145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5133B3" w:rsidRPr="005133B3">
      <w:rPr>
        <w:b/>
        <w:i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60547</wp:posOffset>
          </wp:positionV>
          <wp:extent cx="1543936" cy="414669"/>
          <wp:effectExtent l="19050" t="0" r="0" b="0"/>
          <wp:wrapNone/>
          <wp:docPr id="5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6AB8" w:rsidRPr="00847EA8">
      <w:rPr>
        <w:b/>
        <w:i/>
        <w:sz w:val="24"/>
        <w:szCs w:val="24"/>
      </w:rPr>
      <w:t xml:space="preserve"> </w:t>
    </w:r>
    <w:r w:rsidR="00847EA8">
      <w:t>DETR Equipements sportifs - V0</w:t>
    </w:r>
  </w:p>
  <w:p w:rsidR="00847EA8" w:rsidRDefault="00847EA8" w:rsidP="00847EA8">
    <w:pPr>
      <w:pStyle w:val="Pieddepage"/>
      <w:jc w:val="right"/>
    </w:pPr>
    <w:r>
      <w:t>06/09/2016</w:t>
    </w:r>
  </w:p>
  <w:p w:rsidR="00AA6AB8" w:rsidRPr="00847EA8" w:rsidRDefault="00AA6AB8" w:rsidP="00AA6AB8">
    <w:pPr>
      <w:pStyle w:val="En-tte"/>
      <w:jc w:val="right"/>
      <w:rPr>
        <w:sz w:val="24"/>
        <w:szCs w:val="24"/>
      </w:rPr>
    </w:pPr>
  </w:p>
  <w:p w:rsidR="00AA6AB8" w:rsidRDefault="00AA6A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6D40"/>
    <w:rsid w:val="00013336"/>
    <w:rsid w:val="00045079"/>
    <w:rsid w:val="000A0DF8"/>
    <w:rsid w:val="000A1366"/>
    <w:rsid w:val="000C01E1"/>
    <w:rsid w:val="000D3BA0"/>
    <w:rsid w:val="000E0260"/>
    <w:rsid w:val="001078EE"/>
    <w:rsid w:val="001632E3"/>
    <w:rsid w:val="001F6D2D"/>
    <w:rsid w:val="00220CA4"/>
    <w:rsid w:val="002641A7"/>
    <w:rsid w:val="0028477C"/>
    <w:rsid w:val="002B6C41"/>
    <w:rsid w:val="002D5EDF"/>
    <w:rsid w:val="003075F2"/>
    <w:rsid w:val="00323FEC"/>
    <w:rsid w:val="00360827"/>
    <w:rsid w:val="003A74F0"/>
    <w:rsid w:val="004156FD"/>
    <w:rsid w:val="004240B7"/>
    <w:rsid w:val="004628DE"/>
    <w:rsid w:val="004B677E"/>
    <w:rsid w:val="004C5E2E"/>
    <w:rsid w:val="004C5F26"/>
    <w:rsid w:val="004D4732"/>
    <w:rsid w:val="004F521B"/>
    <w:rsid w:val="005133B3"/>
    <w:rsid w:val="0051798E"/>
    <w:rsid w:val="005221DC"/>
    <w:rsid w:val="005244D8"/>
    <w:rsid w:val="005348CC"/>
    <w:rsid w:val="00555706"/>
    <w:rsid w:val="005848C9"/>
    <w:rsid w:val="0063251C"/>
    <w:rsid w:val="0065380B"/>
    <w:rsid w:val="007046AC"/>
    <w:rsid w:val="007351C4"/>
    <w:rsid w:val="0075112E"/>
    <w:rsid w:val="007A2B3E"/>
    <w:rsid w:val="007A4ED8"/>
    <w:rsid w:val="007D4C5D"/>
    <w:rsid w:val="00805C84"/>
    <w:rsid w:val="00807067"/>
    <w:rsid w:val="00834781"/>
    <w:rsid w:val="00847EA8"/>
    <w:rsid w:val="00877544"/>
    <w:rsid w:val="00895D2A"/>
    <w:rsid w:val="008D2F05"/>
    <w:rsid w:val="00945A5A"/>
    <w:rsid w:val="009A7CA1"/>
    <w:rsid w:val="009B0C58"/>
    <w:rsid w:val="009B4DA8"/>
    <w:rsid w:val="009B69D4"/>
    <w:rsid w:val="009E25FB"/>
    <w:rsid w:val="009F079A"/>
    <w:rsid w:val="00A36548"/>
    <w:rsid w:val="00A718CC"/>
    <w:rsid w:val="00A74411"/>
    <w:rsid w:val="00A75716"/>
    <w:rsid w:val="00AA6AB8"/>
    <w:rsid w:val="00AB4BC5"/>
    <w:rsid w:val="00AD1393"/>
    <w:rsid w:val="00B14874"/>
    <w:rsid w:val="00B40156"/>
    <w:rsid w:val="00B4205B"/>
    <w:rsid w:val="00B84E42"/>
    <w:rsid w:val="00BA0555"/>
    <w:rsid w:val="00BB2F6C"/>
    <w:rsid w:val="00BB6E57"/>
    <w:rsid w:val="00BB71D5"/>
    <w:rsid w:val="00BC381F"/>
    <w:rsid w:val="00C27C8B"/>
    <w:rsid w:val="00C4550C"/>
    <w:rsid w:val="00C75C0B"/>
    <w:rsid w:val="00CB263E"/>
    <w:rsid w:val="00D310F2"/>
    <w:rsid w:val="00D41938"/>
    <w:rsid w:val="00E00B6C"/>
    <w:rsid w:val="00E25DAC"/>
    <w:rsid w:val="00E31E34"/>
    <w:rsid w:val="00E51993"/>
    <w:rsid w:val="00E75398"/>
    <w:rsid w:val="00ED390F"/>
    <w:rsid w:val="00F1731C"/>
    <w:rsid w:val="00FD5C45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98D0-220E-47F8-AD48-7C6F872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DELABRUSSEJ</dc:creator>
  <cp:keywords/>
  <dc:description/>
  <cp:lastModifiedBy>janellir</cp:lastModifiedBy>
  <cp:revision>19</cp:revision>
  <dcterms:created xsi:type="dcterms:W3CDTF">2016-09-05T12:49:00Z</dcterms:created>
  <dcterms:modified xsi:type="dcterms:W3CDTF">2016-09-08T14:04:00Z</dcterms:modified>
</cp:coreProperties>
</file>